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06" w:rsidRDefault="00201764">
      <w:pPr>
        <w:jc w:val="center"/>
        <w:rPr>
          <w:rFonts w:ascii="Rockwell" w:hAnsi="Rockwell"/>
          <w:b/>
          <w:color w:val="FF0000"/>
          <w:sz w:val="28"/>
          <w:szCs w:val="28"/>
        </w:rPr>
      </w:pPr>
      <w:r>
        <w:rPr>
          <w:rFonts w:ascii="Rockwell" w:hAnsi="Rockwell"/>
          <w:b/>
          <w:noProof/>
          <w:color w:val="FF0000"/>
          <w:sz w:val="28"/>
          <w:szCs w:val="28"/>
        </w:rPr>
        <mc:AlternateContent>
          <mc:Choice Requires="wps">
            <w:drawing>
              <wp:anchor distT="0" distB="0" distL="0" distR="0" simplePos="0" relativeHeight="3" behindDoc="0" locked="0" layoutInCell="0" allowOverlap="1">
                <wp:simplePos x="0" y="0"/>
                <wp:positionH relativeFrom="margin">
                  <wp:posOffset>4927600</wp:posOffset>
                </wp:positionH>
                <wp:positionV relativeFrom="paragraph">
                  <wp:posOffset>-319405</wp:posOffset>
                </wp:positionV>
                <wp:extent cx="1493520" cy="1501775"/>
                <wp:effectExtent l="0" t="0" r="12065" b="22860"/>
                <wp:wrapNone/>
                <wp:docPr id="1" name="Text Box 9"/>
                <wp:cNvGraphicFramePr/>
                <a:graphic xmlns:a="http://schemas.openxmlformats.org/drawingml/2006/main">
                  <a:graphicData uri="http://schemas.microsoft.com/office/word/2010/wordprocessingShape">
                    <wps:wsp>
                      <wps:cNvSpPr/>
                      <wps:spPr>
                        <a:xfrm>
                          <a:off x="0" y="0"/>
                          <a:ext cx="1492920" cy="1501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Membres en exercice : 33</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Membres présents : </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Procurations : </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VOTES : </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Pour : </w:t>
                            </w: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Contre : </w:t>
                            </w: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Abstention : </w:t>
                            </w:r>
                          </w:p>
                          <w:p w:rsidR="00882606" w:rsidRDefault="00882606">
                            <w:pPr>
                              <w:pStyle w:val="Contenudecadre"/>
                            </w:pPr>
                          </w:p>
                        </w:txbxContent>
                      </wps:txbx>
                      <wps:bodyPr>
                        <a:noAutofit/>
                      </wps:bodyPr>
                    </wps:wsp>
                  </a:graphicData>
                </a:graphic>
              </wp:anchor>
            </w:drawing>
          </mc:Choice>
          <mc:Fallback>
            <w:pict>
              <v:rect id="Text Box 9" o:spid="_x0000_s1026" style="position:absolute;left:0;text-align:left;margin-left:388pt;margin-top:-25.15pt;width:117.6pt;height:118.25pt;z-index: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L/6gEAAFIEAAAOAAAAZHJzL2Uyb0RvYy54bWysVMFu2zAMvQ/YPwi6L3ayrViMOMW2IrsM&#10;W7G2H6DIUixAEgVJjZ2/H8U4abrt0mI6yKRIPpGPlFfXo7Nsr2Iy4Fs+n9WcKS+hM37X8of7zbtP&#10;nKUsfCcseNXyg0r8ev32zWoIjVpAD7ZTkSGIT80QWt7nHJqqSrJXTqQZBOXRqCE6kVGNu6qLYkB0&#10;Z6tFXV9VA8QuRJAqJTy9ORr5mvC1VjL/1DqpzGzLMbdMe6R9W/ZqvRLNLorQGzmlIV6RhRPG46Vn&#10;qBuRBXuM5i8oZ2SEBDrPJLgKtDZSUQ1Yzbz+o5q7XgRFtSA5KZxpSv8PVv7Y30ZmOuwdZ144bNG9&#10;GjP7AiNbFnaGkBp0ugu3cdISiqXUUUdXvlgEG4nRw5nRAiHxcP5huVgukHiJtvnHeo49K6jVU3iI&#10;KX9T4FgRWh6xZcSk2H9P+eh6cim3JbCm2xhrSYm77Vcb2V5geze0JvRnbtazoeXL91c1IT+zpUuI&#10;mta/IJzJqhCAiVuPn0LLkQiS8sGqkpD1v5RGOokPylBO+MeZw0eBZJwmj8AwoDhqLOmFsVNIiVY0&#10;6i+MPwfR/eDzOd4ZD5FouKiuiHncjtMYbKE7HAfBw+fHDNpQt4rXyUQs4eASbdMjKy/jUicun34F&#10;698AAAD//wMAUEsDBBQABgAIAAAAIQDw/vqr5QAAAAwBAAAPAAAAZHJzL2Rvd25yZXYueG1sTI/B&#10;TsMwEETvSPyDtUhcUGsnqGkV4lQVUoUQ9EBbhLi58ZIE7HWI3Tb063FPcJvVjGbfFPPBGnbA3reO&#10;JCRjAQypcrqlWsJ2sxzNgPmgSCvjCCX8oId5eXlRqFy7I73gYR1qFkvI50pCE0KXc+6rBq3yY9ch&#10;Re/D9VaFePY11706xnJreCpExq1qKX5oVIf3DVZf672V0D6tzMPiZJ4n1fvn49v3ankz2Fcpr6+G&#10;xR2wgEP4C8MZP6JDGZl2bk/aMyNhOs3iliBhNBG3wM4JkSQpsF1UsywFXhb8/4jyFwAA//8DAFBL&#10;AQItABQABgAIAAAAIQC2gziS/gAAAOEBAAATAAAAAAAAAAAAAAAAAAAAAABbQ29udGVudF9UeXBl&#10;c10ueG1sUEsBAi0AFAAGAAgAAAAhADj9If/WAAAAlAEAAAsAAAAAAAAAAAAAAAAALwEAAF9yZWxz&#10;Ly5yZWxzUEsBAi0AFAAGAAgAAAAhADrZwv/qAQAAUgQAAA4AAAAAAAAAAAAAAAAALgIAAGRycy9l&#10;Mm9Eb2MueG1sUEsBAi0AFAAGAAgAAAAhAPD++qvlAAAADAEAAA8AAAAAAAAAAAAAAAAARAQAAGRy&#10;cy9kb3ducmV2LnhtbFBLBQYAAAAABAAEAPMAAABWBQAAAAA=&#10;" o:allowincell="f" strokeweight=".26mm">
                <v:textbox>
                  <w:txbxContent>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Membres en exercice : 33</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Membres présents : </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Procurations : </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VOTES : </w:t>
                      </w:r>
                    </w:p>
                    <w:p w:rsidR="00882606" w:rsidRDefault="00882606">
                      <w:pPr>
                        <w:pStyle w:val="Contenudecadre"/>
                        <w:rPr>
                          <w:rFonts w:ascii="Rockwell" w:hAnsi="Rockwell" w:cs="Tahoma"/>
                          <w:sz w:val="16"/>
                          <w:szCs w:val="16"/>
                        </w:rPr>
                      </w:pP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Pour : </w:t>
                      </w: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Contre : </w:t>
                      </w:r>
                    </w:p>
                    <w:p w:rsidR="00882606" w:rsidRDefault="00201764">
                      <w:pPr>
                        <w:pStyle w:val="Contenudecadre"/>
                        <w:rPr>
                          <w:rFonts w:ascii="Rockwell" w:hAnsi="Rockwell" w:cs="Tahoma"/>
                          <w:color w:val="000000"/>
                          <w:sz w:val="16"/>
                          <w:szCs w:val="16"/>
                        </w:rPr>
                      </w:pPr>
                      <w:r>
                        <w:rPr>
                          <w:rFonts w:ascii="Rockwell" w:hAnsi="Rockwell" w:cs="Tahoma"/>
                          <w:color w:val="000000"/>
                          <w:sz w:val="16"/>
                          <w:szCs w:val="16"/>
                        </w:rPr>
                        <w:t xml:space="preserve">Abstention : </w:t>
                      </w:r>
                    </w:p>
                    <w:p w:rsidR="00882606" w:rsidRDefault="00882606">
                      <w:pPr>
                        <w:pStyle w:val="Contenudecadre"/>
                      </w:pPr>
                    </w:p>
                  </w:txbxContent>
                </v:textbox>
                <w10:wrap anchorx="margin"/>
              </v:rect>
            </w:pict>
          </mc:Fallback>
        </mc:AlternateContent>
      </w:r>
    </w:p>
    <w:p w:rsidR="00882606" w:rsidRDefault="00201764">
      <w:pPr>
        <w:ind w:left="1416" w:hanging="1416"/>
        <w:rPr>
          <w:rFonts w:ascii="Rockwell" w:hAnsi="Rockwell" w:cs="Arial"/>
          <w:b/>
          <w:bCs/>
          <w:sz w:val="22"/>
          <w:szCs w:val="22"/>
        </w:rPr>
      </w:pPr>
      <w:r>
        <w:rPr>
          <w:rFonts w:ascii="Rockwell" w:hAnsi="Rockwell" w:cs="Arial"/>
          <w:b/>
          <w:bCs/>
          <w:sz w:val="22"/>
          <w:szCs w:val="22"/>
        </w:rPr>
        <w:t>COMMUNAUTE DE COMMUNES SERRE-PONCON VAL D’AVANCE</w:t>
      </w:r>
      <w:r>
        <w:rPr>
          <w:rFonts w:ascii="Rockwell" w:hAnsi="Rockwell" w:cs="Arial"/>
          <w:b/>
          <w:bCs/>
          <w:sz w:val="22"/>
          <w:szCs w:val="22"/>
        </w:rPr>
        <w:tab/>
      </w:r>
      <w:r>
        <w:rPr>
          <w:rFonts w:ascii="Rockwell" w:hAnsi="Rockwell" w:cs="Arial"/>
          <w:b/>
          <w:bCs/>
          <w:sz w:val="22"/>
          <w:szCs w:val="22"/>
        </w:rPr>
        <w:tab/>
      </w:r>
    </w:p>
    <w:p w:rsidR="00882606" w:rsidRDefault="00201764">
      <w:pPr>
        <w:tabs>
          <w:tab w:val="left" w:pos="2700"/>
        </w:tabs>
        <w:ind w:left="1416" w:hanging="1416"/>
        <w:rPr>
          <w:rFonts w:ascii="Rockwell" w:hAnsi="Rockwell" w:cs="Arial"/>
          <w:b/>
          <w:bCs/>
          <w:sz w:val="22"/>
          <w:szCs w:val="22"/>
        </w:rPr>
      </w:pPr>
      <w:r>
        <w:rPr>
          <w:rFonts w:ascii="Rockwell" w:hAnsi="Rockwell" w:cs="Arial"/>
          <w:b/>
          <w:bCs/>
          <w:sz w:val="22"/>
          <w:szCs w:val="22"/>
        </w:rPr>
        <w:t xml:space="preserve">33, RUE DE LA LAUZIERE </w:t>
      </w:r>
      <w:r>
        <w:rPr>
          <w:rFonts w:ascii="Rockwell" w:hAnsi="Rockwell" w:cs="Arial"/>
          <w:b/>
          <w:bCs/>
          <w:sz w:val="22"/>
          <w:szCs w:val="22"/>
        </w:rPr>
        <w:tab/>
      </w:r>
    </w:p>
    <w:p w:rsidR="00882606" w:rsidRDefault="00201764">
      <w:pPr>
        <w:tabs>
          <w:tab w:val="left" w:pos="2805"/>
        </w:tabs>
        <w:ind w:left="1416" w:hanging="1416"/>
        <w:rPr>
          <w:rFonts w:ascii="Rockwell" w:hAnsi="Rockwell" w:cs="Arial"/>
          <w:b/>
          <w:bCs/>
          <w:sz w:val="22"/>
          <w:szCs w:val="22"/>
        </w:rPr>
      </w:pPr>
      <w:r>
        <w:rPr>
          <w:rFonts w:ascii="Rockwell" w:hAnsi="Rockwell" w:cs="Arial"/>
          <w:b/>
          <w:bCs/>
          <w:sz w:val="22"/>
          <w:szCs w:val="22"/>
        </w:rPr>
        <w:t>05230 LA BATIE NEUVE</w:t>
      </w:r>
    </w:p>
    <w:p w:rsidR="00882606" w:rsidRDefault="00882606">
      <w:pPr>
        <w:tabs>
          <w:tab w:val="left" w:pos="2805"/>
        </w:tabs>
        <w:ind w:left="1416" w:hanging="1416"/>
        <w:rPr>
          <w:rFonts w:ascii="Rockwell" w:hAnsi="Rockwell"/>
          <w:b/>
          <w:bCs/>
          <w:sz w:val="24"/>
          <w:szCs w:val="24"/>
        </w:rPr>
      </w:pPr>
    </w:p>
    <w:p w:rsidR="00882606" w:rsidRDefault="00882606">
      <w:pPr>
        <w:tabs>
          <w:tab w:val="left" w:pos="2805"/>
        </w:tabs>
        <w:ind w:left="1416" w:hanging="1416"/>
        <w:jc w:val="center"/>
        <w:rPr>
          <w:rFonts w:ascii="Rockwell" w:hAnsi="Rockwell" w:cs="Arial"/>
          <w:b/>
          <w:bCs/>
          <w:sz w:val="22"/>
          <w:szCs w:val="22"/>
        </w:rPr>
      </w:pPr>
    </w:p>
    <w:p w:rsidR="00882606" w:rsidRDefault="00201764">
      <w:pPr>
        <w:tabs>
          <w:tab w:val="left" w:pos="2805"/>
        </w:tabs>
        <w:ind w:left="1416" w:hanging="1416"/>
        <w:jc w:val="center"/>
        <w:rPr>
          <w:rFonts w:ascii="Rockwell" w:hAnsi="Rockwell" w:cs="Arial"/>
          <w:b/>
          <w:bCs/>
          <w:sz w:val="28"/>
          <w:szCs w:val="28"/>
        </w:rPr>
      </w:pPr>
      <w:r>
        <w:rPr>
          <w:rFonts w:ascii="Rockwell" w:hAnsi="Rockwell" w:cs="Arial"/>
          <w:b/>
          <w:bCs/>
          <w:sz w:val="28"/>
          <w:szCs w:val="28"/>
        </w:rPr>
        <w:t xml:space="preserve">DELIBERATION </w:t>
      </w:r>
    </w:p>
    <w:p w:rsidR="00882606" w:rsidRDefault="00201764">
      <w:pPr>
        <w:tabs>
          <w:tab w:val="left" w:pos="2805"/>
        </w:tabs>
        <w:ind w:left="1416" w:hanging="1416"/>
        <w:jc w:val="center"/>
        <w:rPr>
          <w:rFonts w:ascii="Rockwell" w:hAnsi="Rockwell" w:cs="Arial"/>
          <w:b/>
          <w:bCs/>
          <w:sz w:val="28"/>
          <w:szCs w:val="28"/>
        </w:rPr>
      </w:pPr>
      <w:r>
        <w:rPr>
          <w:noProof/>
        </w:rPr>
        <mc:AlternateContent>
          <mc:Choice Requires="wps">
            <w:drawing>
              <wp:anchor distT="0" distB="0" distL="0" distR="0" simplePos="0" relativeHeight="2" behindDoc="0" locked="0" layoutInCell="0" allowOverlap="1">
                <wp:simplePos x="0" y="0"/>
                <wp:positionH relativeFrom="column">
                  <wp:posOffset>4944110</wp:posOffset>
                </wp:positionH>
                <wp:positionV relativeFrom="paragraph">
                  <wp:posOffset>5715</wp:posOffset>
                </wp:positionV>
                <wp:extent cx="1478280" cy="271780"/>
                <wp:effectExtent l="0" t="0" r="0" b="0"/>
                <wp:wrapNone/>
                <wp:docPr id="3" name="Text Box 10"/>
                <wp:cNvGraphicFramePr/>
                <a:graphic xmlns:a="http://schemas.openxmlformats.org/drawingml/2006/main">
                  <a:graphicData uri="http://schemas.microsoft.com/office/word/2010/wordprocessingShape">
                    <wps:wsp>
                      <wps:cNvSpPr/>
                      <wps:spPr>
                        <a:xfrm>
                          <a:off x="0" y="0"/>
                          <a:ext cx="1477800" cy="271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82606" w:rsidRDefault="006612EA">
                            <w:pPr>
                              <w:pStyle w:val="Contenudecadre"/>
                              <w:jc w:val="center"/>
                            </w:pPr>
                            <w:r>
                              <w:rPr>
                                <w:rFonts w:ascii="Rockwell" w:hAnsi="Rockwell"/>
                                <w:color w:val="000000"/>
                                <w:sz w:val="22"/>
                                <w:szCs w:val="22"/>
                              </w:rPr>
                              <w:t>N° 2023/5/32</w:t>
                            </w:r>
                            <w:bookmarkStart w:id="0" w:name="_GoBack"/>
                            <w:bookmarkEnd w:id="0"/>
                          </w:p>
                        </w:txbxContent>
                      </wps:txbx>
                      <wps:bodyPr>
                        <a:noAutofit/>
                      </wps:bodyPr>
                    </wps:wsp>
                  </a:graphicData>
                </a:graphic>
              </wp:anchor>
            </w:drawing>
          </mc:Choice>
          <mc:Fallback>
            <w:pict>
              <v:rect id="Text Box 10" o:spid="_x0000_s1027" style="position:absolute;left:0;text-align:left;margin-left:389.3pt;margin-top:.45pt;width:116.4pt;height:21.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H7gEAAFkEAAAOAAAAZHJzL2Uyb0RvYy54bWysVMFuGyEQvVfqPyDu9e46VexaXkdtI/dS&#10;tVGTfABmwUYCBgHxrv++w9hZO20uqcqBBWbeY+bNsMubwVm2VzEZ8C1vJjVnykvojN+2/PFh/WHO&#10;WcrCd8KCVy0/qMRvVu/fLfuwUFPYge1UZEji06IPLd/lHBZVleROOZEmEJRHo4boRMZt3FZdFD2y&#10;O1tN6/q66iF2IYJUKeHp7dHIV8SvtZL5p9ZJZWZbjrFlmiPNmzJXq6VYbKMIOyNPYYh/iMIJ4/HS&#10;kepWZMGeovmLyhkZIYHOEwmuAq2NVJQDZtPUf2RzvxNBUS4oTgqjTOn/0cof+7vITNfyK868cFii&#10;BzVk9gUG1pA8fUgL9LoPdxHFKruEy5LroKMrX8yCDSTpYZS0cEg8bD7OZvMalZdom86aek6k1Rkd&#10;YsrfFDhWFi2PWDJSUuy/p4w3ouuzS7ksgTXd2lhLm7jdfLWR7QWWd02jVBQhL9ysZ33LP11d18T8&#10;wpYuKWoar1E4k1XJH6mtx89ZB1rlg1UlIOt/KY1ykhwUoTzxH3sOHwVq8dx5RIaA4qgxpTdiT5CC&#10;VtTqb8SPILoffB7xzniIJMNFdmWZh81A3dIUaznZQHc4toOHz08ZtKGiXZpILOxfUu/01soDudyT&#10;pOc/wuo3AAAA//8DAFBLAwQUAAYACAAAACEAlKZO6OIAAAAIAQAADwAAAGRycy9kb3ducmV2Lnht&#10;bEyPwU7DMBBE70j8g7VIXBB1AqUpIZuqQqoQKj1QQIibGy9JwF6H2G0DX497guNoRjNvitlgjdhR&#10;71vHCOkoAUFcOd1yjfD8tDifgvBBsVbGMSF8k4dZeXxUqFy7PT/Sbh1qEUvY5wqhCaHLpfRVQ1b5&#10;keuIo/fueqtClH0tda/2sdwaeZEkE2lVy3GhUR3dNlR9rrcWoV2uzN38xzxcVW8f969fq8XZYF8Q&#10;T0+G+Q2IQEP4C8MBP6JDGZk2bsvaC4OQZdNJjCJcgzjYSZqOQWwQxpcZyLKQ/w+UvwAAAP//AwBQ&#10;SwECLQAUAAYACAAAACEAtoM4kv4AAADhAQAAEwAAAAAAAAAAAAAAAAAAAAAAW0NvbnRlbnRfVHlw&#10;ZXNdLnhtbFBLAQItABQABgAIAAAAIQA4/SH/1gAAAJQBAAALAAAAAAAAAAAAAAAAAC8BAABfcmVs&#10;cy8ucmVsc1BLAQItABQABgAIAAAAIQDTs+WH7gEAAFkEAAAOAAAAAAAAAAAAAAAAAC4CAABkcnMv&#10;ZTJvRG9jLnhtbFBLAQItABQABgAIAAAAIQCUpk7o4gAAAAgBAAAPAAAAAAAAAAAAAAAAAEgEAABk&#10;cnMvZG93bnJldi54bWxQSwUGAAAAAAQABADzAAAAVwUAAAAA&#10;" o:allowincell="f" strokeweight=".26mm">
                <v:textbox>
                  <w:txbxContent>
                    <w:p w:rsidR="00882606" w:rsidRDefault="006612EA">
                      <w:pPr>
                        <w:pStyle w:val="Contenudecadre"/>
                        <w:jc w:val="center"/>
                      </w:pPr>
                      <w:r>
                        <w:rPr>
                          <w:rFonts w:ascii="Rockwell" w:hAnsi="Rockwell"/>
                          <w:color w:val="000000"/>
                          <w:sz w:val="22"/>
                          <w:szCs w:val="22"/>
                        </w:rPr>
                        <w:t>N° 2023/5/32</w:t>
                      </w:r>
                      <w:bookmarkStart w:id="1" w:name="_GoBack"/>
                      <w:bookmarkEnd w:id="1"/>
                    </w:p>
                  </w:txbxContent>
                </v:textbox>
              </v:rect>
            </w:pict>
          </mc:Fallback>
        </mc:AlternateContent>
      </w:r>
      <w:r>
        <w:rPr>
          <w:rFonts w:ascii="Rockwell" w:hAnsi="Rockwell" w:cs="Arial"/>
          <w:b/>
          <w:bCs/>
          <w:sz w:val="28"/>
          <w:szCs w:val="28"/>
        </w:rPr>
        <w:t>DU CONSEIL COMMUNAUTAIRE</w:t>
      </w:r>
    </w:p>
    <w:p w:rsidR="00882606" w:rsidRDefault="00882606">
      <w:pPr>
        <w:jc w:val="center"/>
        <w:rPr>
          <w:rFonts w:ascii="Rockwell" w:hAnsi="Rockwell"/>
          <w:b/>
          <w:bCs/>
          <w:sz w:val="22"/>
          <w:szCs w:val="22"/>
        </w:rPr>
      </w:pPr>
    </w:p>
    <w:p w:rsidR="00882606" w:rsidRDefault="00201764">
      <w:pPr>
        <w:jc w:val="center"/>
        <w:rPr>
          <w:rFonts w:ascii="Rockwell" w:hAnsi="Rockwell" w:cs="Arial"/>
          <w:b/>
          <w:caps/>
          <w:sz w:val="24"/>
          <w:szCs w:val="24"/>
        </w:rPr>
      </w:pPr>
      <w:r>
        <w:rPr>
          <w:rFonts w:ascii="Rockwell" w:hAnsi="Rockwell" w:cs="Arial"/>
          <w:b/>
          <w:caps/>
          <w:sz w:val="24"/>
          <w:szCs w:val="24"/>
        </w:rPr>
        <w:t>Séance Ordinaire du MARDI 05 SEPTEMBRE 2023</w:t>
      </w:r>
    </w:p>
    <w:p w:rsidR="00882606" w:rsidRDefault="00201764">
      <w:pPr>
        <w:rPr>
          <w:rFonts w:ascii="Rockwell" w:hAnsi="Rockwell" w:cs="Arial"/>
          <w:color w:val="FF0000"/>
          <w:sz w:val="24"/>
          <w:szCs w:val="24"/>
        </w:rPr>
      </w:pPr>
      <w:r>
        <w:rPr>
          <w:rFonts w:ascii="Rockwell" w:hAnsi="Rockwell" w:cs="Arial"/>
          <w:color w:val="FF0000"/>
          <w:sz w:val="24"/>
          <w:szCs w:val="24"/>
        </w:rPr>
        <w:tab/>
      </w:r>
      <w:r>
        <w:rPr>
          <w:rFonts w:ascii="Rockwell" w:hAnsi="Rockwell" w:cs="Arial"/>
          <w:color w:val="FF0000"/>
          <w:sz w:val="24"/>
          <w:szCs w:val="24"/>
        </w:rPr>
        <w:tab/>
        <w:t xml:space="preserve">   </w:t>
      </w:r>
    </w:p>
    <w:p w:rsidR="00882606" w:rsidRDefault="00882606">
      <w:pPr>
        <w:suppressAutoHyphens w:val="0"/>
        <w:jc w:val="both"/>
        <w:rPr>
          <w:rFonts w:ascii="Rockwell" w:hAnsi="Rockwell"/>
          <w:sz w:val="22"/>
          <w:szCs w:val="22"/>
        </w:rPr>
      </w:pPr>
    </w:p>
    <w:p w:rsidR="00882606" w:rsidRDefault="00882606">
      <w:pPr>
        <w:suppressAutoHyphens w:val="0"/>
        <w:jc w:val="both"/>
        <w:rPr>
          <w:rFonts w:ascii="Rockwell" w:hAnsi="Rockwell"/>
          <w:w w:val="110"/>
          <w:sz w:val="22"/>
          <w:szCs w:val="22"/>
          <w:u w:val="single"/>
        </w:rPr>
      </w:pPr>
    </w:p>
    <w:p w:rsidR="00882606" w:rsidRDefault="00201764">
      <w:pPr>
        <w:suppressAutoHyphens w:val="0"/>
        <w:jc w:val="both"/>
      </w:pPr>
      <w:r>
        <w:rPr>
          <w:rFonts w:ascii="Rockwell" w:hAnsi="Rockwell"/>
          <w:bCs/>
          <w:w w:val="110"/>
          <w:sz w:val="22"/>
          <w:szCs w:val="22"/>
          <w:u w:val="single"/>
        </w:rPr>
        <w:t>Objet</w:t>
      </w:r>
      <w:r>
        <w:rPr>
          <w:rFonts w:ascii="Rockwell" w:hAnsi="Rockwell"/>
          <w:bCs/>
          <w:w w:val="110"/>
          <w:sz w:val="22"/>
          <w:szCs w:val="22"/>
        </w:rPr>
        <w:t xml:space="preserve"> :</w:t>
      </w:r>
      <w:r>
        <w:rPr>
          <w:rFonts w:ascii="Rockwell" w:hAnsi="Rockwell"/>
          <w:b/>
          <w:bCs/>
          <w:w w:val="110"/>
          <w:sz w:val="22"/>
          <w:szCs w:val="22"/>
        </w:rPr>
        <w:t xml:space="preserve"> </w:t>
      </w:r>
      <w:r>
        <w:rPr>
          <w:rFonts w:ascii="Rockwell" w:hAnsi="Rockwell" w:cs="Calibri"/>
          <w:b/>
          <w:bCs/>
          <w:w w:val="110"/>
          <w:sz w:val="22"/>
          <w:szCs w:val="22"/>
        </w:rPr>
        <w:t>Approbation du règlement intérieur pour l’utilisation des casiers à vélo sécurisés</w:t>
      </w:r>
    </w:p>
    <w:p w:rsidR="00882606" w:rsidRDefault="00882606">
      <w:pPr>
        <w:suppressAutoHyphens w:val="0"/>
        <w:jc w:val="both"/>
        <w:rPr>
          <w:rFonts w:ascii="Rockwell" w:hAnsi="Rockwell" w:cs="Calibri"/>
          <w:b/>
          <w:bCs/>
          <w:w w:val="110"/>
          <w:sz w:val="22"/>
          <w:szCs w:val="22"/>
        </w:rPr>
      </w:pPr>
    </w:p>
    <w:p w:rsidR="00882606" w:rsidRDefault="00201764">
      <w:pPr>
        <w:suppressAutoHyphens w:val="0"/>
        <w:jc w:val="both"/>
        <w:rPr>
          <w:rFonts w:ascii="Rockwell" w:hAnsi="Rockwell" w:cs="Calibri"/>
          <w:w w:val="110"/>
          <w:sz w:val="22"/>
          <w:szCs w:val="22"/>
        </w:rPr>
      </w:pPr>
      <w:r>
        <w:rPr>
          <w:rFonts w:ascii="Rockwell" w:hAnsi="Rockwell" w:cs="Calibri"/>
          <w:w w:val="110"/>
          <w:sz w:val="22"/>
          <w:szCs w:val="22"/>
        </w:rPr>
        <w:t>Vu la Loi 2019-1428 du 24 décembre 2019 dite d’Orientation des Mobilités (Loi LOM) permettant aux EPCI à fiscalité propre de devenir Autorité Organisatrice des Mobilités Locale ;</w:t>
      </w:r>
    </w:p>
    <w:p w:rsidR="00882606" w:rsidRDefault="00882606">
      <w:pPr>
        <w:suppressAutoHyphens w:val="0"/>
        <w:jc w:val="both"/>
        <w:rPr>
          <w:rFonts w:ascii="Rockwell" w:hAnsi="Rockwell" w:cs="Calibri"/>
          <w:w w:val="110"/>
          <w:sz w:val="22"/>
          <w:szCs w:val="22"/>
        </w:rPr>
      </w:pPr>
    </w:p>
    <w:p w:rsidR="00201764" w:rsidRPr="00201764" w:rsidRDefault="00201764" w:rsidP="00201764">
      <w:pPr>
        <w:suppressAutoHyphens w:val="0"/>
        <w:autoSpaceDN w:val="0"/>
        <w:jc w:val="both"/>
        <w:textAlignment w:val="baseline"/>
        <w:rPr>
          <w:rFonts w:ascii="Rockwell" w:hAnsi="Rockwell" w:cs="Calibri"/>
          <w:w w:val="110"/>
          <w:sz w:val="22"/>
          <w:szCs w:val="22"/>
        </w:rPr>
      </w:pPr>
      <w:r w:rsidRPr="00201764">
        <w:rPr>
          <w:rFonts w:ascii="Rockwell" w:hAnsi="Rockwell" w:cs="Calibri"/>
          <w:w w:val="110"/>
          <w:sz w:val="22"/>
          <w:szCs w:val="22"/>
        </w:rPr>
        <w:t>Vu la délibération n°2021/1/13 du 23 février 2021 approuvant la procédure de transfert de la compétence mobilité à la Communauté de Communes Serre-Ponçon Val d'Avance ;</w:t>
      </w:r>
    </w:p>
    <w:p w:rsidR="00882606" w:rsidRDefault="00882606">
      <w:pPr>
        <w:suppressAutoHyphens w:val="0"/>
        <w:jc w:val="both"/>
        <w:rPr>
          <w:rFonts w:ascii="Rockwell" w:hAnsi="Rockwell" w:cs="Calibri"/>
          <w:w w:val="110"/>
          <w:sz w:val="22"/>
          <w:szCs w:val="22"/>
        </w:rPr>
      </w:pPr>
    </w:p>
    <w:p w:rsidR="00882606" w:rsidRDefault="00201764">
      <w:pPr>
        <w:suppressAutoHyphens w:val="0"/>
        <w:jc w:val="both"/>
        <w:rPr>
          <w:rFonts w:ascii="Rockwell" w:hAnsi="Rockwell" w:cs="Calibri"/>
          <w:w w:val="110"/>
          <w:sz w:val="22"/>
          <w:szCs w:val="22"/>
        </w:rPr>
      </w:pPr>
      <w:r>
        <w:rPr>
          <w:rFonts w:ascii="Rockwell" w:hAnsi="Rockwell" w:cs="Calibri"/>
          <w:w w:val="110"/>
          <w:sz w:val="22"/>
          <w:szCs w:val="22"/>
        </w:rPr>
        <w:t xml:space="preserve">Vu les délibérations concordantes </w:t>
      </w:r>
      <w:proofErr w:type="gramStart"/>
      <w:r>
        <w:rPr>
          <w:rFonts w:ascii="Rockwell" w:hAnsi="Rockwell" w:cs="Calibri"/>
          <w:w w:val="110"/>
          <w:sz w:val="22"/>
          <w:szCs w:val="22"/>
        </w:rPr>
        <w:t>des communes membres</w:t>
      </w:r>
      <w:proofErr w:type="gramEnd"/>
      <w:r>
        <w:rPr>
          <w:rFonts w:ascii="Rockwell" w:hAnsi="Rockwell" w:cs="Calibri"/>
          <w:w w:val="110"/>
          <w:sz w:val="22"/>
          <w:szCs w:val="22"/>
        </w:rPr>
        <w:t xml:space="preserve"> autorisant le transfert de cette compétence et approuvant cette modification des statuts de la Communauté de Communes Serre-Ponçon Val d'Avance ;</w:t>
      </w:r>
    </w:p>
    <w:p w:rsidR="00201764" w:rsidRDefault="00201764">
      <w:pPr>
        <w:suppressAutoHyphens w:val="0"/>
        <w:jc w:val="both"/>
        <w:rPr>
          <w:rFonts w:ascii="Rockwell" w:hAnsi="Rockwell" w:cs="Calibri"/>
          <w:w w:val="110"/>
          <w:sz w:val="22"/>
          <w:szCs w:val="22"/>
        </w:rPr>
      </w:pPr>
    </w:p>
    <w:p w:rsidR="00201764" w:rsidRPr="00201764" w:rsidRDefault="00201764" w:rsidP="00201764">
      <w:pPr>
        <w:suppressAutoHyphens w:val="0"/>
        <w:autoSpaceDN w:val="0"/>
        <w:jc w:val="both"/>
        <w:textAlignment w:val="baseline"/>
      </w:pPr>
      <w:r w:rsidRPr="00201764">
        <w:rPr>
          <w:rFonts w:ascii="Rockwell" w:hAnsi="Rockwell" w:cs="Calibri"/>
          <w:w w:val="110"/>
          <w:sz w:val="22"/>
          <w:szCs w:val="22"/>
        </w:rPr>
        <w:t>Vu l’arrêté préfectoral n° 05-2021-06-30-00003 du 30 juin 2021 approuvant le transfert de la compétence mobilité à la Communauté de Communes Serre-Ponçon Val d’Avance à compter du 1</w:t>
      </w:r>
      <w:r w:rsidRPr="00201764">
        <w:rPr>
          <w:rFonts w:ascii="Rockwell" w:hAnsi="Rockwell" w:cs="Calibri"/>
          <w:w w:val="110"/>
          <w:sz w:val="22"/>
          <w:szCs w:val="22"/>
          <w:vertAlign w:val="superscript"/>
        </w:rPr>
        <w:t>er</w:t>
      </w:r>
      <w:r w:rsidRPr="00201764">
        <w:rPr>
          <w:rFonts w:ascii="Rockwell" w:hAnsi="Rockwell" w:cs="Calibri"/>
          <w:w w:val="110"/>
          <w:sz w:val="22"/>
          <w:szCs w:val="22"/>
        </w:rPr>
        <w:t xml:space="preserve"> juillet 2021 ;</w:t>
      </w:r>
    </w:p>
    <w:p w:rsidR="00882606" w:rsidRDefault="00882606">
      <w:pPr>
        <w:suppressAutoHyphens w:val="0"/>
        <w:jc w:val="both"/>
        <w:rPr>
          <w:rFonts w:ascii="Rockwell" w:hAnsi="Rockwell" w:cs="Calibri"/>
          <w:w w:val="110"/>
          <w:sz w:val="22"/>
          <w:szCs w:val="22"/>
        </w:rPr>
      </w:pPr>
    </w:p>
    <w:p w:rsidR="00882606" w:rsidRDefault="00201764">
      <w:pPr>
        <w:suppressAutoHyphens w:val="0"/>
        <w:jc w:val="both"/>
      </w:pPr>
      <w:r>
        <w:rPr>
          <w:rFonts w:ascii="Rockwell" w:hAnsi="Rockwell" w:cs="Calibri"/>
          <w:w w:val="110"/>
          <w:sz w:val="22"/>
          <w:szCs w:val="22"/>
        </w:rPr>
        <w:t>Vu la délibération 2021/3/5 du 29 avril 2021 validant la création d’aires de covoiturage sur le territoire de la Communauté de Communes Serre-Ponçon Val d'Avance ;</w:t>
      </w:r>
    </w:p>
    <w:p w:rsidR="00882606" w:rsidRDefault="00882606">
      <w:pPr>
        <w:suppressAutoHyphens w:val="0"/>
        <w:jc w:val="both"/>
        <w:rPr>
          <w:rFonts w:ascii="Rockwell" w:hAnsi="Rockwell" w:cs="Calibri"/>
          <w:w w:val="110"/>
          <w:sz w:val="22"/>
          <w:szCs w:val="22"/>
        </w:rPr>
      </w:pPr>
    </w:p>
    <w:p w:rsidR="00882606" w:rsidRDefault="00201764">
      <w:pPr>
        <w:suppressAutoHyphens w:val="0"/>
        <w:jc w:val="both"/>
        <w:rPr>
          <w:rFonts w:ascii="Rockwell" w:hAnsi="Rockwell" w:cs="Calibri"/>
          <w:w w:val="110"/>
          <w:sz w:val="22"/>
          <w:szCs w:val="22"/>
        </w:rPr>
      </w:pPr>
      <w:r>
        <w:rPr>
          <w:rFonts w:ascii="Rockwell" w:hAnsi="Rockwell" w:cs="Calibri"/>
          <w:w w:val="110"/>
          <w:sz w:val="22"/>
          <w:szCs w:val="22"/>
        </w:rPr>
        <w:t xml:space="preserve">Afin de favoriser conjointement le recours au covoiturage et le développement des mobilités douces, la Communauté de Communes Serre-Ponçon Val d'Avance s’est dotée en juillet 2023 de casiers à vélo individuels sécurisés de la marque </w:t>
      </w:r>
      <w:proofErr w:type="spellStart"/>
      <w:r>
        <w:rPr>
          <w:rFonts w:ascii="Rockwell" w:hAnsi="Rockwell" w:cs="Calibri"/>
          <w:w w:val="110"/>
          <w:sz w:val="22"/>
          <w:szCs w:val="22"/>
        </w:rPr>
        <w:t>Panocolor</w:t>
      </w:r>
      <w:proofErr w:type="spellEnd"/>
      <w:r>
        <w:rPr>
          <w:rFonts w:ascii="Rockwell" w:hAnsi="Rockwell" w:cs="Calibri"/>
          <w:w w:val="110"/>
          <w:sz w:val="22"/>
          <w:szCs w:val="22"/>
        </w:rPr>
        <w:t xml:space="preserve">, modèle Edimbourg. </w:t>
      </w:r>
    </w:p>
    <w:p w:rsidR="00882606" w:rsidRDefault="00882606">
      <w:pPr>
        <w:suppressAutoHyphens w:val="0"/>
        <w:jc w:val="both"/>
        <w:rPr>
          <w:rFonts w:ascii="Rockwell" w:hAnsi="Rockwell" w:cs="Calibri"/>
          <w:w w:val="110"/>
          <w:sz w:val="22"/>
          <w:szCs w:val="22"/>
        </w:rPr>
      </w:pPr>
    </w:p>
    <w:p w:rsidR="00882606" w:rsidRDefault="00201764">
      <w:pPr>
        <w:suppressAutoHyphens w:val="0"/>
        <w:jc w:val="both"/>
        <w:rPr>
          <w:rFonts w:ascii="Rockwell" w:hAnsi="Rockwell" w:cs="Calibri"/>
          <w:w w:val="110"/>
          <w:sz w:val="22"/>
          <w:szCs w:val="22"/>
        </w:rPr>
      </w:pPr>
      <w:r>
        <w:rPr>
          <w:rFonts w:ascii="Rockwell" w:hAnsi="Rockwell" w:cs="Calibri"/>
          <w:w w:val="110"/>
          <w:sz w:val="22"/>
          <w:szCs w:val="22"/>
        </w:rPr>
        <w:t>Ces casiers ont été installés sur :</w:t>
      </w:r>
    </w:p>
    <w:p w:rsidR="00882606" w:rsidRDefault="00201764">
      <w:pPr>
        <w:numPr>
          <w:ilvl w:val="0"/>
          <w:numId w:val="2"/>
        </w:numPr>
        <w:suppressAutoHyphens w:val="0"/>
        <w:jc w:val="both"/>
        <w:rPr>
          <w:rFonts w:ascii="Rockwell" w:hAnsi="Rockwell" w:cs="Calibri"/>
          <w:w w:val="110"/>
          <w:sz w:val="22"/>
          <w:szCs w:val="22"/>
        </w:rPr>
      </w:pPr>
      <w:proofErr w:type="gramStart"/>
      <w:r>
        <w:rPr>
          <w:rFonts w:ascii="Rockwell" w:hAnsi="Rockwell" w:cs="Calibri"/>
          <w:w w:val="110"/>
          <w:sz w:val="22"/>
          <w:szCs w:val="22"/>
        </w:rPr>
        <w:t>le</w:t>
      </w:r>
      <w:proofErr w:type="gramEnd"/>
      <w:r>
        <w:rPr>
          <w:rFonts w:ascii="Rockwell" w:hAnsi="Rockwell" w:cs="Calibri"/>
          <w:w w:val="110"/>
          <w:sz w:val="22"/>
          <w:szCs w:val="22"/>
        </w:rPr>
        <w:t xml:space="preserve"> parking giratoire de la commune de Rousset,</w:t>
      </w:r>
    </w:p>
    <w:p w:rsidR="00882606" w:rsidRDefault="00201764">
      <w:pPr>
        <w:numPr>
          <w:ilvl w:val="0"/>
          <w:numId w:val="2"/>
        </w:numPr>
        <w:suppressAutoHyphens w:val="0"/>
        <w:jc w:val="both"/>
        <w:rPr>
          <w:rFonts w:ascii="Rockwell" w:hAnsi="Rockwell" w:cs="Calibri"/>
          <w:w w:val="110"/>
          <w:sz w:val="22"/>
          <w:szCs w:val="22"/>
        </w:rPr>
      </w:pPr>
      <w:proofErr w:type="gramStart"/>
      <w:r>
        <w:rPr>
          <w:rFonts w:ascii="Rockwell" w:hAnsi="Rockwell" w:cs="Calibri"/>
          <w:w w:val="110"/>
          <w:sz w:val="22"/>
          <w:szCs w:val="22"/>
        </w:rPr>
        <w:t>la</w:t>
      </w:r>
      <w:proofErr w:type="gramEnd"/>
      <w:r>
        <w:rPr>
          <w:rFonts w:ascii="Rockwell" w:hAnsi="Rockwell" w:cs="Calibri"/>
          <w:w w:val="110"/>
          <w:sz w:val="22"/>
          <w:szCs w:val="22"/>
        </w:rPr>
        <w:t xml:space="preserve"> place de la Gare sur la commune de La Bâtie-Neuve.</w:t>
      </w:r>
    </w:p>
    <w:p w:rsidR="00882606" w:rsidRDefault="00882606">
      <w:pPr>
        <w:suppressAutoHyphens w:val="0"/>
        <w:jc w:val="both"/>
        <w:rPr>
          <w:rFonts w:ascii="Rockwell" w:hAnsi="Rockwell" w:cs="Calibri"/>
          <w:w w:val="110"/>
          <w:sz w:val="22"/>
          <w:szCs w:val="22"/>
        </w:rPr>
      </w:pPr>
    </w:p>
    <w:p w:rsidR="00882606" w:rsidRDefault="00201764">
      <w:pPr>
        <w:suppressAutoHyphens w:val="0"/>
        <w:jc w:val="both"/>
        <w:rPr>
          <w:rFonts w:ascii="Rockwell" w:hAnsi="Rockwell" w:cs="Calibri"/>
          <w:w w:val="110"/>
          <w:sz w:val="22"/>
          <w:szCs w:val="22"/>
        </w:rPr>
      </w:pPr>
      <w:r>
        <w:rPr>
          <w:rFonts w:ascii="Rockwell" w:hAnsi="Rockwell" w:cs="Calibri"/>
          <w:w w:val="110"/>
          <w:sz w:val="22"/>
          <w:szCs w:val="22"/>
        </w:rPr>
        <w:t>D’autres casiers pourront être installés ultérieurement sur le territoire, sous réserve d’évaluation du présent dispositif.</w:t>
      </w:r>
    </w:p>
    <w:p w:rsidR="00882606" w:rsidRDefault="00882606">
      <w:pPr>
        <w:suppressAutoHyphens w:val="0"/>
        <w:jc w:val="both"/>
        <w:rPr>
          <w:rFonts w:ascii="Rockwell" w:hAnsi="Rockwell" w:cs="Calibri"/>
          <w:w w:val="110"/>
          <w:sz w:val="22"/>
          <w:szCs w:val="22"/>
        </w:rPr>
      </w:pPr>
    </w:p>
    <w:p w:rsidR="00201764" w:rsidRDefault="00201764">
      <w:pPr>
        <w:suppressAutoHyphens w:val="0"/>
        <w:jc w:val="both"/>
        <w:rPr>
          <w:rFonts w:ascii="Rockwell" w:hAnsi="Rockwell" w:cs="Calibri"/>
          <w:w w:val="110"/>
          <w:sz w:val="22"/>
          <w:szCs w:val="22"/>
        </w:rPr>
      </w:pPr>
    </w:p>
    <w:p w:rsidR="00201764" w:rsidRDefault="00201764">
      <w:pPr>
        <w:suppressAutoHyphens w:val="0"/>
        <w:jc w:val="both"/>
        <w:rPr>
          <w:rFonts w:ascii="Rockwell" w:hAnsi="Rockwell" w:cs="Calibri"/>
          <w:w w:val="110"/>
          <w:sz w:val="22"/>
          <w:szCs w:val="22"/>
        </w:rPr>
      </w:pPr>
    </w:p>
    <w:p w:rsidR="00201764" w:rsidRDefault="00201764">
      <w:pPr>
        <w:suppressAutoHyphens w:val="0"/>
        <w:jc w:val="both"/>
        <w:rPr>
          <w:rFonts w:ascii="Rockwell" w:hAnsi="Rockwell" w:cs="Calibri"/>
          <w:w w:val="110"/>
          <w:sz w:val="22"/>
          <w:szCs w:val="22"/>
        </w:rPr>
      </w:pPr>
    </w:p>
    <w:p w:rsidR="00201764" w:rsidRDefault="00201764">
      <w:pPr>
        <w:suppressAutoHyphens w:val="0"/>
        <w:jc w:val="both"/>
        <w:rPr>
          <w:rFonts w:ascii="Rockwell" w:hAnsi="Rockwell" w:cs="Calibri"/>
          <w:w w:val="110"/>
          <w:sz w:val="22"/>
          <w:szCs w:val="22"/>
        </w:rPr>
      </w:pPr>
    </w:p>
    <w:p w:rsidR="00201764" w:rsidRDefault="00201764">
      <w:pPr>
        <w:suppressAutoHyphens w:val="0"/>
        <w:jc w:val="both"/>
        <w:rPr>
          <w:rFonts w:ascii="Rockwell" w:hAnsi="Rockwell" w:cs="Calibri"/>
          <w:w w:val="110"/>
          <w:sz w:val="22"/>
          <w:szCs w:val="22"/>
        </w:rPr>
      </w:pPr>
    </w:p>
    <w:p w:rsidR="00882606" w:rsidRDefault="00201764">
      <w:pPr>
        <w:suppressAutoHyphens w:val="0"/>
        <w:jc w:val="both"/>
      </w:pPr>
      <w:r>
        <w:rPr>
          <w:rFonts w:ascii="Rockwell" w:hAnsi="Rockwell" w:cs="Calibri"/>
          <w:w w:val="110"/>
          <w:sz w:val="22"/>
          <w:szCs w:val="22"/>
        </w:rPr>
        <w:lastRenderedPageBreak/>
        <w:t>Monsieur le président propose au conseil communautaire de valider le règlement d’utilisation suivant, à l’attention des usagers :</w:t>
      </w:r>
    </w:p>
    <w:p w:rsidR="00882606" w:rsidRDefault="00882606">
      <w:pPr>
        <w:pStyle w:val="Titre1"/>
        <w:rPr>
          <w:b/>
        </w:rPr>
      </w:pPr>
    </w:p>
    <w:p w:rsidR="00882606" w:rsidRDefault="00201764">
      <w:pPr>
        <w:pStyle w:val="Titre1"/>
      </w:pPr>
      <w:r>
        <w:rPr>
          <w:b/>
        </w:rPr>
        <w:t>Article 1 : Objet</w:t>
      </w:r>
      <w:r>
        <w:t xml:space="preserve"> </w:t>
      </w:r>
    </w:p>
    <w:p w:rsidR="00201764" w:rsidRPr="00201764" w:rsidRDefault="00201764" w:rsidP="00201764"/>
    <w:p w:rsidR="00882606" w:rsidRDefault="00201764">
      <w:pPr>
        <w:jc w:val="both"/>
        <w:rPr>
          <w:rFonts w:ascii="Rockwell" w:hAnsi="Rockwell" w:cs="Calibri"/>
          <w:w w:val="110"/>
          <w:sz w:val="22"/>
          <w:szCs w:val="22"/>
        </w:rPr>
      </w:pPr>
      <w:r>
        <w:rPr>
          <w:rFonts w:ascii="Rockwell" w:hAnsi="Rockwell" w:cs="Calibri"/>
          <w:w w:val="110"/>
          <w:sz w:val="22"/>
          <w:szCs w:val="22"/>
        </w:rPr>
        <w:t>Les casiers à vélos, propriété exclusive de la Communauté de Communes Serre-Ponçon Val d'Avance, sont réservés aux usagers désireux d’utiliser leur vélo personnel pour se rendre à l’aire de covoiturage et y poursuivre leur trajet en mobilité partagée ou en transports en commun.</w:t>
      </w:r>
    </w:p>
    <w:p w:rsidR="00882606" w:rsidRDefault="00882606">
      <w:pPr>
        <w:rPr>
          <w:rFonts w:ascii="Rockwell" w:hAnsi="Rockwell" w:cs="Calibri"/>
          <w:w w:val="110"/>
          <w:sz w:val="22"/>
          <w:szCs w:val="22"/>
        </w:rPr>
      </w:pPr>
    </w:p>
    <w:p w:rsidR="00882606" w:rsidRDefault="00201764">
      <w:pPr>
        <w:pStyle w:val="Titre1"/>
        <w:rPr>
          <w:b/>
        </w:rPr>
      </w:pPr>
      <w:r>
        <w:rPr>
          <w:b/>
        </w:rPr>
        <w:t xml:space="preserve">Article 2 : Condition d’utilisation </w:t>
      </w:r>
    </w:p>
    <w:p w:rsidR="00201764" w:rsidRPr="00201764" w:rsidRDefault="00201764" w:rsidP="00201764"/>
    <w:p w:rsidR="00882606" w:rsidRDefault="00201764">
      <w:pPr>
        <w:numPr>
          <w:ilvl w:val="0"/>
          <w:numId w:val="6"/>
        </w:numPr>
        <w:jc w:val="both"/>
        <w:rPr>
          <w:rFonts w:ascii="Rockwell" w:hAnsi="Rockwell" w:cs="Calibri"/>
          <w:w w:val="110"/>
          <w:sz w:val="22"/>
          <w:szCs w:val="22"/>
        </w:rPr>
      </w:pPr>
      <w:r>
        <w:rPr>
          <w:rFonts w:ascii="Rockwell" w:hAnsi="Rockwell" w:cs="Calibri"/>
          <w:w w:val="110"/>
          <w:sz w:val="22"/>
          <w:szCs w:val="22"/>
        </w:rPr>
        <w:t>Le service est libre d’accès pour toute personne et gratuit. Le service n’est conditionné à aucune inscription.</w:t>
      </w:r>
    </w:p>
    <w:p w:rsidR="00882606" w:rsidRDefault="00201764">
      <w:pPr>
        <w:numPr>
          <w:ilvl w:val="0"/>
          <w:numId w:val="6"/>
        </w:numPr>
        <w:jc w:val="both"/>
        <w:rPr>
          <w:rFonts w:ascii="Rockwell" w:hAnsi="Rockwell" w:cs="Calibri"/>
          <w:w w:val="110"/>
          <w:sz w:val="22"/>
          <w:szCs w:val="22"/>
        </w:rPr>
      </w:pPr>
      <w:r>
        <w:rPr>
          <w:rFonts w:ascii="Rockwell" w:hAnsi="Rockwell" w:cs="Calibri"/>
          <w:w w:val="110"/>
          <w:sz w:val="22"/>
          <w:szCs w:val="22"/>
        </w:rPr>
        <w:t>Le service ne peut être utilisé qu’à la condition qu’un casier libre soit disponible à l’arrivée de l’usager.</w:t>
      </w:r>
    </w:p>
    <w:p w:rsidR="00882606" w:rsidRDefault="00201764">
      <w:pPr>
        <w:pStyle w:val="Titre1"/>
        <w:numPr>
          <w:ilvl w:val="0"/>
          <w:numId w:val="6"/>
        </w:numPr>
        <w:jc w:val="both"/>
      </w:pPr>
      <w:r>
        <w:rPr>
          <w:rFonts w:cs="Calibri"/>
          <w:w w:val="110"/>
          <w:szCs w:val="22"/>
        </w:rPr>
        <w:t>Afin de stationner son vélo en toute sécurité, l’usager doit utiliser son ou ses propre(s) antivol(s) et un cadenas compatible avec le casier, et garantissant un niveau de protection suffisant, tel que défini à l’</w:t>
      </w:r>
      <w:r>
        <w:rPr>
          <w:rFonts w:cs="Calibri"/>
          <w:iCs/>
          <w:w w:val="110"/>
          <w:szCs w:val="22"/>
        </w:rPr>
        <w:t>article 4 « Responsabilité »</w:t>
      </w:r>
      <w:r>
        <w:rPr>
          <w:rFonts w:cs="Calibri"/>
          <w:w w:val="110"/>
          <w:szCs w:val="22"/>
        </w:rPr>
        <w:t xml:space="preserve"> du présent règlement.</w:t>
      </w:r>
    </w:p>
    <w:p w:rsidR="00882606" w:rsidRDefault="00201764">
      <w:pPr>
        <w:numPr>
          <w:ilvl w:val="0"/>
          <w:numId w:val="6"/>
        </w:numPr>
        <w:jc w:val="both"/>
      </w:pPr>
      <w:r>
        <w:rPr>
          <w:rFonts w:ascii="Rockwell" w:hAnsi="Rockwell" w:cs="Calibri"/>
          <w:w w:val="110"/>
          <w:sz w:val="22"/>
          <w:szCs w:val="22"/>
        </w:rPr>
        <w:t>L’usager récupère son vélo avant le soir même, minuit. Il s’assure de n’avoir rien oublié dans le casier à son départ.</w:t>
      </w:r>
    </w:p>
    <w:p w:rsidR="00882606" w:rsidRDefault="00882606">
      <w:pPr>
        <w:pStyle w:val="Titre1"/>
        <w:rPr>
          <w:rFonts w:cs="Calibri"/>
          <w:w w:val="110"/>
          <w:szCs w:val="22"/>
        </w:rPr>
      </w:pPr>
    </w:p>
    <w:p w:rsidR="00882606" w:rsidRDefault="00201764">
      <w:pPr>
        <w:pStyle w:val="Titre1"/>
        <w:rPr>
          <w:b/>
        </w:rPr>
      </w:pPr>
      <w:r>
        <w:rPr>
          <w:b/>
        </w:rPr>
        <w:t>Article 3 : Mode d’emploi </w:t>
      </w:r>
    </w:p>
    <w:p w:rsidR="00201764" w:rsidRPr="00201764" w:rsidRDefault="00201764" w:rsidP="00201764"/>
    <w:p w:rsidR="00882606" w:rsidRDefault="00201764">
      <w:pPr>
        <w:pStyle w:val="Paragraphedeliste"/>
        <w:numPr>
          <w:ilvl w:val="0"/>
          <w:numId w:val="3"/>
        </w:numPr>
      </w:pPr>
      <w:r>
        <w:rPr>
          <w:rFonts w:ascii="Rockwell" w:hAnsi="Rockwell" w:cs="Calibri"/>
          <w:w w:val="110"/>
          <w:sz w:val="22"/>
          <w:szCs w:val="22"/>
        </w:rPr>
        <w:t>L’usager stationne son vélo dans un casier libre ;</w:t>
      </w:r>
    </w:p>
    <w:p w:rsidR="00882606" w:rsidRDefault="00201764">
      <w:pPr>
        <w:numPr>
          <w:ilvl w:val="0"/>
          <w:numId w:val="3"/>
        </w:numPr>
        <w:rPr>
          <w:rFonts w:ascii="Rockwell" w:hAnsi="Rockwell" w:cs="Calibri"/>
          <w:w w:val="110"/>
          <w:sz w:val="22"/>
          <w:szCs w:val="22"/>
        </w:rPr>
      </w:pPr>
      <w:r>
        <w:rPr>
          <w:rFonts w:ascii="Rockwell" w:hAnsi="Rockwell" w:cs="Calibri"/>
          <w:w w:val="110"/>
          <w:sz w:val="22"/>
          <w:szCs w:val="22"/>
        </w:rPr>
        <w:t>L’usager attache son vélo avec son propre antivol, à la barre prévue à cet effet à l’intérieur du casier ;</w:t>
      </w:r>
    </w:p>
    <w:p w:rsidR="00882606" w:rsidRDefault="00201764">
      <w:pPr>
        <w:numPr>
          <w:ilvl w:val="0"/>
          <w:numId w:val="3"/>
        </w:numPr>
        <w:rPr>
          <w:rFonts w:ascii="Rockwell" w:hAnsi="Rockwell" w:cs="Calibri"/>
          <w:w w:val="110"/>
          <w:sz w:val="22"/>
          <w:szCs w:val="22"/>
        </w:rPr>
      </w:pPr>
      <w:r>
        <w:rPr>
          <w:rFonts w:ascii="Rockwell" w:hAnsi="Rockwell" w:cs="Calibri"/>
          <w:w w:val="110"/>
          <w:sz w:val="22"/>
          <w:szCs w:val="22"/>
        </w:rPr>
        <w:t>L’usager verrouille la porte du casier à l’aide de son propre cadenas.</w:t>
      </w:r>
    </w:p>
    <w:p w:rsidR="00882606" w:rsidRDefault="00201764">
      <w:pPr>
        <w:numPr>
          <w:ilvl w:val="0"/>
          <w:numId w:val="3"/>
        </w:numPr>
        <w:rPr>
          <w:rFonts w:ascii="Rockwell" w:hAnsi="Rockwell" w:cs="Calibri"/>
          <w:w w:val="110"/>
          <w:sz w:val="22"/>
          <w:szCs w:val="22"/>
        </w:rPr>
      </w:pPr>
      <w:r>
        <w:rPr>
          <w:rFonts w:ascii="Rockwell" w:hAnsi="Rockwell" w:cs="Calibri"/>
          <w:w w:val="110"/>
          <w:sz w:val="22"/>
          <w:szCs w:val="22"/>
        </w:rPr>
        <w:t>L’usager récupère son vélo, son antivol et son cadenas en fin de journée, et ne laisse en aucun cas son vélo jusqu’au lendemain.</w:t>
      </w:r>
    </w:p>
    <w:p w:rsidR="00882606" w:rsidRDefault="00882606">
      <w:pPr>
        <w:ind w:left="720"/>
        <w:rPr>
          <w:rFonts w:ascii="Rockwell" w:hAnsi="Rockwell" w:cs="Calibri"/>
          <w:w w:val="110"/>
          <w:sz w:val="22"/>
          <w:szCs w:val="22"/>
        </w:rPr>
      </w:pPr>
    </w:p>
    <w:p w:rsidR="00882606" w:rsidRDefault="00201764">
      <w:pPr>
        <w:pStyle w:val="Titre1"/>
        <w:rPr>
          <w:b/>
        </w:rPr>
      </w:pPr>
      <w:r>
        <w:rPr>
          <w:b/>
        </w:rPr>
        <w:t>Article 4 : Responsabilité </w:t>
      </w:r>
    </w:p>
    <w:p w:rsidR="00201764" w:rsidRPr="00201764" w:rsidRDefault="00201764" w:rsidP="00201764"/>
    <w:p w:rsidR="00882606" w:rsidRDefault="00201764">
      <w:pPr>
        <w:numPr>
          <w:ilvl w:val="0"/>
          <w:numId w:val="4"/>
        </w:numPr>
        <w:jc w:val="both"/>
        <w:rPr>
          <w:rFonts w:ascii="Rockwell" w:hAnsi="Rockwell" w:cs="Calibri"/>
          <w:color w:val="00000A"/>
          <w:sz w:val="22"/>
          <w:szCs w:val="22"/>
        </w:rPr>
      </w:pPr>
      <w:r>
        <w:rPr>
          <w:rFonts w:ascii="Rockwell" w:hAnsi="Rockwell" w:cs="Calibri"/>
          <w:color w:val="00000A"/>
          <w:sz w:val="22"/>
          <w:szCs w:val="22"/>
        </w:rPr>
        <w:t>En cas de dégradation ou de vol de ses biens, une plainte sera obligatoirement déposée à la Gendarmerie Nationale par l’usager. La Communauté de Communes Serre-Ponçon Val d'Avance se réserve le droit de déposer une plainte en son nom propre en cas de dégradation du mobilier en lui-même.</w:t>
      </w:r>
    </w:p>
    <w:p w:rsidR="00882606" w:rsidRDefault="00201764">
      <w:pPr>
        <w:numPr>
          <w:ilvl w:val="0"/>
          <w:numId w:val="4"/>
        </w:numPr>
        <w:jc w:val="both"/>
      </w:pPr>
      <w:r>
        <w:rPr>
          <w:rFonts w:ascii="Rockwell" w:hAnsi="Rockwell" w:cs="Calibri"/>
          <w:color w:val="00000A"/>
          <w:sz w:val="22"/>
          <w:szCs w:val="22"/>
        </w:rPr>
        <w:t xml:space="preserve">La Communauté de Communes Serre-Ponçon Val d'Avance décline toute responsabilité s’il était constaté que l’usager n’avait pas respecté l’ensemble des points des </w:t>
      </w:r>
      <w:r>
        <w:rPr>
          <w:rFonts w:ascii="Rockwell" w:hAnsi="Rockwell" w:cs="Calibri"/>
          <w:iCs/>
          <w:color w:val="00000A"/>
          <w:sz w:val="22"/>
          <w:szCs w:val="22"/>
        </w:rPr>
        <w:t>articles 1 à 3</w:t>
      </w:r>
      <w:r>
        <w:rPr>
          <w:rFonts w:ascii="Rockwell" w:hAnsi="Rockwell" w:cs="Calibri"/>
          <w:color w:val="00000A"/>
          <w:sz w:val="22"/>
          <w:szCs w:val="22"/>
        </w:rPr>
        <w:t xml:space="preserve"> du présent règlement, notamment s’il n’a pas fait usage d’un cadenas conforme à l’usage qui en est fait et à minima à la norme EN 13320 classe 3, ainsi que d’un antivol certifié </w:t>
      </w:r>
      <w:proofErr w:type="spellStart"/>
      <w:r>
        <w:rPr>
          <w:rFonts w:ascii="Rockwell" w:hAnsi="Rockwell" w:cs="Calibri"/>
          <w:color w:val="00000A"/>
          <w:sz w:val="22"/>
          <w:szCs w:val="22"/>
        </w:rPr>
        <w:t>Sold</w:t>
      </w:r>
      <w:proofErr w:type="spellEnd"/>
      <w:r>
        <w:rPr>
          <w:rFonts w:ascii="Rockwell" w:hAnsi="Rockwell" w:cs="Calibri"/>
          <w:color w:val="00000A"/>
          <w:sz w:val="22"/>
          <w:szCs w:val="22"/>
        </w:rPr>
        <w:t xml:space="preserve"> Secure, SRA, FUB ou ART 2 ou 3, tel que décrit dans : </w:t>
      </w:r>
      <w:hyperlink r:id="rId7">
        <w:r>
          <w:rPr>
            <w:rStyle w:val="LienInternet"/>
            <w:rFonts w:ascii="Rockwell" w:hAnsi="Rockwell" w:cs="Calibri"/>
            <w:color w:val="00000A"/>
            <w:sz w:val="22"/>
            <w:szCs w:val="22"/>
          </w:rPr>
          <w:t>Antivols les 5 règles d'or | Fédération française des usagers de la bicyclette (fub.fr)</w:t>
        </w:r>
      </w:hyperlink>
      <w:r>
        <w:rPr>
          <w:rFonts w:ascii="Rockwell" w:hAnsi="Rockwell" w:cs="Calibri"/>
          <w:color w:val="00000A"/>
          <w:sz w:val="22"/>
          <w:szCs w:val="22"/>
        </w:rPr>
        <w:t xml:space="preserve">, </w:t>
      </w:r>
      <w:r>
        <w:rPr>
          <w:rFonts w:ascii="Rockwell" w:hAnsi="Rockwell" w:cs="Calibri"/>
          <w:color w:val="00000A"/>
          <w:w w:val="110"/>
          <w:sz w:val="22"/>
          <w:szCs w:val="22"/>
        </w:rPr>
        <w:t>et en tout état de cause, s’il était constaté une dégradation ou un vol rendu possible par la seule absence ou effraction du cadenas et/ ou de l’antivol de l’usager.</w:t>
      </w:r>
    </w:p>
    <w:p w:rsidR="00882606" w:rsidRPr="00201764" w:rsidRDefault="00201764">
      <w:pPr>
        <w:numPr>
          <w:ilvl w:val="0"/>
          <w:numId w:val="4"/>
        </w:numPr>
        <w:jc w:val="both"/>
      </w:pPr>
      <w:r>
        <w:rPr>
          <w:rFonts w:ascii="Rockwell" w:hAnsi="Rockwell" w:cs="Calibri"/>
          <w:color w:val="00000A"/>
          <w:w w:val="110"/>
          <w:sz w:val="22"/>
          <w:szCs w:val="22"/>
        </w:rPr>
        <w:t>La Communauté de Communes Serre-Ponçon Val d'Avance décline toute responsabilité en cas de dégradation ou de vol survenu de nuit (22h00 -6h00).</w:t>
      </w:r>
    </w:p>
    <w:p w:rsidR="00201764" w:rsidRDefault="00201764" w:rsidP="00201764">
      <w:pPr>
        <w:jc w:val="both"/>
        <w:rPr>
          <w:rFonts w:ascii="Rockwell" w:hAnsi="Rockwell" w:cs="Calibri"/>
          <w:color w:val="00000A"/>
          <w:w w:val="110"/>
          <w:sz w:val="22"/>
          <w:szCs w:val="22"/>
        </w:rPr>
      </w:pPr>
    </w:p>
    <w:p w:rsidR="00201764" w:rsidRDefault="00201764" w:rsidP="00201764">
      <w:pPr>
        <w:jc w:val="both"/>
        <w:rPr>
          <w:rFonts w:ascii="Rockwell" w:hAnsi="Rockwell" w:cs="Calibri"/>
          <w:color w:val="00000A"/>
          <w:w w:val="110"/>
          <w:sz w:val="22"/>
          <w:szCs w:val="22"/>
        </w:rPr>
      </w:pPr>
    </w:p>
    <w:p w:rsidR="00201764" w:rsidRDefault="00201764" w:rsidP="00201764">
      <w:pPr>
        <w:jc w:val="both"/>
        <w:rPr>
          <w:rFonts w:ascii="Rockwell" w:hAnsi="Rockwell" w:cs="Calibri"/>
          <w:color w:val="00000A"/>
          <w:w w:val="110"/>
          <w:sz w:val="22"/>
          <w:szCs w:val="22"/>
        </w:rPr>
      </w:pPr>
    </w:p>
    <w:p w:rsidR="00201764" w:rsidRDefault="00201764" w:rsidP="00201764">
      <w:pPr>
        <w:jc w:val="both"/>
        <w:rPr>
          <w:rFonts w:ascii="Rockwell" w:hAnsi="Rockwell" w:cs="Calibri"/>
          <w:color w:val="00000A"/>
          <w:w w:val="110"/>
          <w:sz w:val="22"/>
          <w:szCs w:val="22"/>
        </w:rPr>
      </w:pPr>
    </w:p>
    <w:p w:rsidR="00201764" w:rsidRDefault="00201764" w:rsidP="00201764">
      <w:pPr>
        <w:jc w:val="both"/>
        <w:rPr>
          <w:rFonts w:ascii="Rockwell" w:hAnsi="Rockwell" w:cs="Calibri"/>
          <w:color w:val="00000A"/>
          <w:w w:val="110"/>
          <w:sz w:val="22"/>
          <w:szCs w:val="22"/>
        </w:rPr>
      </w:pPr>
    </w:p>
    <w:p w:rsidR="00201764" w:rsidRDefault="00201764" w:rsidP="00201764">
      <w:pPr>
        <w:jc w:val="both"/>
      </w:pPr>
    </w:p>
    <w:p w:rsidR="00882606" w:rsidRDefault="00882606">
      <w:pPr>
        <w:jc w:val="both"/>
      </w:pPr>
    </w:p>
    <w:p w:rsidR="00882606" w:rsidRDefault="00882606">
      <w:pPr>
        <w:jc w:val="both"/>
        <w:rPr>
          <w:rFonts w:ascii="Rockwell" w:hAnsi="Rockwell" w:cs="Calibri"/>
          <w:color w:val="00000A"/>
          <w:w w:val="110"/>
          <w:sz w:val="22"/>
          <w:szCs w:val="22"/>
        </w:rPr>
      </w:pPr>
    </w:p>
    <w:p w:rsidR="00882606" w:rsidRDefault="00201764">
      <w:pPr>
        <w:pStyle w:val="Titre1"/>
        <w:rPr>
          <w:b/>
        </w:rPr>
      </w:pPr>
      <w:r>
        <w:rPr>
          <w:b/>
        </w:rPr>
        <w:t>Article 5 : Intervention en cas d’abus </w:t>
      </w:r>
    </w:p>
    <w:p w:rsidR="00201764" w:rsidRDefault="00201764">
      <w:pPr>
        <w:rPr>
          <w:rFonts w:ascii="Rockwell" w:hAnsi="Rockwell" w:cs="Calibri"/>
          <w:color w:val="00000A"/>
          <w:sz w:val="22"/>
          <w:szCs w:val="22"/>
        </w:rPr>
      </w:pPr>
    </w:p>
    <w:p w:rsidR="00882606" w:rsidRDefault="00201764">
      <w:pPr>
        <w:rPr>
          <w:rFonts w:ascii="Rockwell" w:hAnsi="Rockwell" w:cs="Calibri"/>
          <w:color w:val="00000A"/>
          <w:sz w:val="22"/>
          <w:szCs w:val="22"/>
        </w:rPr>
      </w:pPr>
      <w:r>
        <w:rPr>
          <w:rFonts w:ascii="Rockwell" w:hAnsi="Rockwell" w:cs="Calibri"/>
          <w:color w:val="00000A"/>
          <w:sz w:val="22"/>
          <w:szCs w:val="22"/>
        </w:rPr>
        <w:t>S’il était constaté :</w:t>
      </w:r>
    </w:p>
    <w:p w:rsidR="00882606" w:rsidRDefault="00201764">
      <w:pPr>
        <w:numPr>
          <w:ilvl w:val="0"/>
          <w:numId w:val="5"/>
        </w:numPr>
        <w:rPr>
          <w:rFonts w:ascii="Rockwell" w:hAnsi="Rockwell" w:cs="Calibri"/>
          <w:color w:val="00000A"/>
          <w:sz w:val="22"/>
          <w:szCs w:val="22"/>
        </w:rPr>
      </w:pPr>
      <w:proofErr w:type="gramStart"/>
      <w:r>
        <w:rPr>
          <w:rFonts w:ascii="Rockwell" w:hAnsi="Rockwell" w:cs="Calibri"/>
          <w:color w:val="00000A"/>
          <w:sz w:val="22"/>
          <w:szCs w:val="22"/>
        </w:rPr>
        <w:t>qu’un</w:t>
      </w:r>
      <w:proofErr w:type="gramEnd"/>
      <w:r>
        <w:rPr>
          <w:rFonts w:ascii="Rockwell" w:hAnsi="Rockwell" w:cs="Calibri"/>
          <w:color w:val="00000A"/>
          <w:sz w:val="22"/>
          <w:szCs w:val="22"/>
        </w:rPr>
        <w:t xml:space="preserve"> casier restait occupé durant la nuit, et à fortiori durant plusieurs jours,</w:t>
      </w:r>
    </w:p>
    <w:p w:rsidR="00882606" w:rsidRDefault="00201764">
      <w:pPr>
        <w:numPr>
          <w:ilvl w:val="0"/>
          <w:numId w:val="5"/>
        </w:numPr>
        <w:rPr>
          <w:rFonts w:ascii="Rockwell" w:hAnsi="Rockwell" w:cs="Calibri"/>
          <w:color w:val="00000A"/>
          <w:sz w:val="22"/>
          <w:szCs w:val="22"/>
        </w:rPr>
      </w:pPr>
      <w:proofErr w:type="gramStart"/>
      <w:r>
        <w:rPr>
          <w:rFonts w:ascii="Rockwell" w:hAnsi="Rockwell" w:cs="Calibri"/>
          <w:color w:val="00000A"/>
          <w:sz w:val="22"/>
          <w:szCs w:val="22"/>
        </w:rPr>
        <w:t>qu’un</w:t>
      </w:r>
      <w:proofErr w:type="gramEnd"/>
      <w:r>
        <w:rPr>
          <w:rFonts w:ascii="Rockwell" w:hAnsi="Rockwell" w:cs="Calibri"/>
          <w:color w:val="00000A"/>
          <w:sz w:val="22"/>
          <w:szCs w:val="22"/>
        </w:rPr>
        <w:t xml:space="preserve"> casier était utilisé à un autre usage que celui décrit à l’</w:t>
      </w:r>
      <w:r>
        <w:rPr>
          <w:rFonts w:ascii="Rockwell" w:hAnsi="Rockwell" w:cs="Calibri"/>
          <w:iCs/>
          <w:color w:val="00000A"/>
          <w:sz w:val="22"/>
          <w:szCs w:val="22"/>
        </w:rPr>
        <w:t>Article 1</w:t>
      </w:r>
      <w:r>
        <w:rPr>
          <w:rFonts w:ascii="Rockwell" w:hAnsi="Rockwell" w:cs="Calibri"/>
          <w:i/>
          <w:iCs/>
          <w:color w:val="00000A"/>
          <w:sz w:val="22"/>
          <w:szCs w:val="22"/>
        </w:rPr>
        <w:t xml:space="preserve"> « Objet</w:t>
      </w:r>
      <w:r>
        <w:rPr>
          <w:rFonts w:ascii="Rockwell" w:hAnsi="Rockwell" w:cs="Calibri"/>
          <w:color w:val="00000A"/>
          <w:sz w:val="22"/>
          <w:szCs w:val="22"/>
        </w:rPr>
        <w:t> » du présent règlement, et notamment à des fins de stockage de longue durée de tout article que ce soit,</w:t>
      </w:r>
    </w:p>
    <w:p w:rsidR="00201764" w:rsidRDefault="00201764">
      <w:pPr>
        <w:jc w:val="both"/>
        <w:rPr>
          <w:rFonts w:ascii="Rockwell" w:hAnsi="Rockwell" w:cs="Calibri"/>
          <w:color w:val="00000A"/>
          <w:sz w:val="22"/>
          <w:szCs w:val="22"/>
        </w:rPr>
      </w:pPr>
    </w:p>
    <w:p w:rsidR="00882606" w:rsidRDefault="00201764">
      <w:pPr>
        <w:jc w:val="both"/>
        <w:rPr>
          <w:rFonts w:ascii="Rockwell" w:hAnsi="Rockwell" w:cs="Calibri"/>
          <w:color w:val="00000A"/>
          <w:sz w:val="22"/>
          <w:szCs w:val="22"/>
        </w:rPr>
      </w:pPr>
      <w:proofErr w:type="gramStart"/>
      <w:r>
        <w:rPr>
          <w:rFonts w:ascii="Rockwell" w:hAnsi="Rockwell" w:cs="Calibri"/>
          <w:color w:val="00000A"/>
          <w:sz w:val="22"/>
          <w:szCs w:val="22"/>
        </w:rPr>
        <w:t>la</w:t>
      </w:r>
      <w:proofErr w:type="gramEnd"/>
      <w:r>
        <w:rPr>
          <w:rFonts w:ascii="Rockwell" w:hAnsi="Rockwell" w:cs="Calibri"/>
          <w:color w:val="00000A"/>
          <w:sz w:val="22"/>
          <w:szCs w:val="22"/>
        </w:rPr>
        <w:t xml:space="preserve"> Communauté de Communes Serre-Ponçon Val d'Avance se réserve le droit de faire constater l’usage abusif et de faire procéder à l’ouverture du casier, sans prévis. Les effets saisis seront restitués sur demande, dans un délai maximal de 30 jours francs à compter de la date d’ouverture, à toute personne les réclamant, sous réserve qu’elle puisse faire preuve de sa qualité de propriétaire des dits. </w:t>
      </w:r>
    </w:p>
    <w:p w:rsidR="00882606" w:rsidRDefault="00882606">
      <w:pPr>
        <w:rPr>
          <w:rFonts w:ascii="Rockwell" w:hAnsi="Rockwell" w:cs="Calibri"/>
          <w:color w:val="00000A"/>
          <w:sz w:val="22"/>
          <w:szCs w:val="22"/>
        </w:rPr>
      </w:pPr>
    </w:p>
    <w:p w:rsidR="00882606" w:rsidRDefault="00201764">
      <w:pPr>
        <w:pStyle w:val="Titre1"/>
        <w:rPr>
          <w:b/>
        </w:rPr>
      </w:pPr>
      <w:r>
        <w:rPr>
          <w:b/>
        </w:rPr>
        <w:t>Article 6 : Publicité </w:t>
      </w:r>
    </w:p>
    <w:p w:rsidR="00201764" w:rsidRDefault="00201764">
      <w:pPr>
        <w:jc w:val="both"/>
        <w:rPr>
          <w:rFonts w:ascii="Rockwell" w:hAnsi="Rockwell" w:cs="Calibri"/>
          <w:color w:val="00000A"/>
          <w:sz w:val="22"/>
          <w:szCs w:val="22"/>
        </w:rPr>
      </w:pPr>
    </w:p>
    <w:p w:rsidR="00882606" w:rsidRDefault="00201764">
      <w:pPr>
        <w:jc w:val="both"/>
        <w:rPr>
          <w:rFonts w:ascii="Rockwell" w:hAnsi="Rockwell" w:cs="Calibri"/>
          <w:color w:val="00000A"/>
          <w:sz w:val="22"/>
          <w:szCs w:val="22"/>
        </w:rPr>
      </w:pPr>
      <w:r>
        <w:rPr>
          <w:rFonts w:ascii="Rockwell" w:hAnsi="Rockwell" w:cs="Calibri"/>
          <w:color w:val="00000A"/>
          <w:sz w:val="22"/>
          <w:szCs w:val="22"/>
        </w:rPr>
        <w:t>Le présent règlement intérieur sera consultable sur les sites internet de la Communauté de Communes Serre-Ponçon Val d'Avance et des communes concernées, et communicable à toute personne en faisant demande à l’accueil du Secrétariat de la Communauté de Communes Serre-Ponçon Val d'Avance.</w:t>
      </w:r>
    </w:p>
    <w:p w:rsidR="00882606" w:rsidRDefault="00882606">
      <w:pPr>
        <w:tabs>
          <w:tab w:val="left" w:pos="708"/>
        </w:tabs>
        <w:jc w:val="both"/>
        <w:rPr>
          <w:rFonts w:ascii="Rockwell" w:hAnsi="Rockwell" w:cs="Calibri"/>
          <w:color w:val="00000A"/>
          <w:sz w:val="22"/>
          <w:szCs w:val="22"/>
        </w:rPr>
      </w:pPr>
    </w:p>
    <w:p w:rsidR="00882606" w:rsidRDefault="00201764">
      <w:pPr>
        <w:jc w:val="both"/>
        <w:rPr>
          <w:rFonts w:ascii="Rockwell" w:hAnsi="Rockwell" w:cs="Calibri"/>
          <w:color w:val="00000A"/>
          <w:sz w:val="22"/>
          <w:szCs w:val="22"/>
        </w:rPr>
      </w:pPr>
      <w:r>
        <w:rPr>
          <w:rFonts w:ascii="Rockwell" w:hAnsi="Rockwell" w:cs="Calibri"/>
          <w:color w:val="00000A"/>
          <w:sz w:val="22"/>
          <w:szCs w:val="22"/>
        </w:rPr>
        <w:t>Ouï cet exposé et après en avoir délibéré, le conseil communautaire, à l’unanimité des membres présents et représentés :</w:t>
      </w:r>
    </w:p>
    <w:p w:rsidR="00882606" w:rsidRDefault="00882606">
      <w:pPr>
        <w:jc w:val="both"/>
        <w:rPr>
          <w:rFonts w:ascii="Rockwell" w:hAnsi="Rockwell" w:cs="Calibri"/>
          <w:bCs/>
          <w:color w:val="00000A"/>
          <w:sz w:val="22"/>
          <w:szCs w:val="22"/>
        </w:rPr>
      </w:pPr>
    </w:p>
    <w:p w:rsidR="00882606" w:rsidRDefault="00201764">
      <w:pPr>
        <w:numPr>
          <w:ilvl w:val="0"/>
          <w:numId w:val="1"/>
        </w:numPr>
        <w:tabs>
          <w:tab w:val="left" w:pos="708"/>
        </w:tabs>
        <w:ind w:left="567"/>
        <w:contextualSpacing/>
        <w:jc w:val="both"/>
        <w:rPr>
          <w:rFonts w:ascii="Rockwell" w:hAnsi="Rockwell" w:cs="Calibri"/>
          <w:bCs/>
          <w:sz w:val="22"/>
          <w:szCs w:val="22"/>
        </w:rPr>
      </w:pPr>
      <w:r>
        <w:rPr>
          <w:rFonts w:ascii="Rockwell" w:hAnsi="Rockwell" w:cs="Calibri"/>
          <w:bCs/>
          <w:sz w:val="22"/>
          <w:szCs w:val="22"/>
        </w:rPr>
        <w:t>Approuve la proposition énoncée ci-dessus ;</w:t>
      </w:r>
    </w:p>
    <w:p w:rsidR="00882606" w:rsidRDefault="00882606">
      <w:pPr>
        <w:tabs>
          <w:tab w:val="left" w:pos="708"/>
        </w:tabs>
        <w:ind w:left="567"/>
        <w:contextualSpacing/>
        <w:jc w:val="both"/>
        <w:rPr>
          <w:rFonts w:ascii="Rockwell" w:hAnsi="Rockwell" w:cs="Calibri"/>
          <w:bCs/>
          <w:sz w:val="22"/>
          <w:szCs w:val="22"/>
        </w:rPr>
      </w:pPr>
    </w:p>
    <w:p w:rsidR="00882606" w:rsidRDefault="00201764">
      <w:pPr>
        <w:numPr>
          <w:ilvl w:val="0"/>
          <w:numId w:val="1"/>
        </w:numPr>
        <w:tabs>
          <w:tab w:val="left" w:pos="708"/>
        </w:tabs>
        <w:ind w:left="567"/>
        <w:contextualSpacing/>
        <w:jc w:val="both"/>
      </w:pPr>
      <w:r>
        <w:rPr>
          <w:rFonts w:ascii="Rockwell" w:hAnsi="Rockwell" w:cs="Calibri"/>
          <w:bCs/>
          <w:sz w:val="22"/>
          <w:szCs w:val="22"/>
        </w:rPr>
        <w:t>Autorise Monsieur le président à solliciter la préfecture des Hautes-Alpes pour une subvention au titre de l’Appel à Projet Fonds Mobilité Active ;</w:t>
      </w:r>
    </w:p>
    <w:p w:rsidR="00882606" w:rsidRDefault="00882606">
      <w:pPr>
        <w:tabs>
          <w:tab w:val="left" w:pos="708"/>
        </w:tabs>
        <w:ind w:left="567"/>
        <w:contextualSpacing/>
        <w:jc w:val="both"/>
        <w:rPr>
          <w:rFonts w:ascii="Rockwell" w:hAnsi="Rockwell" w:cs="Calibri"/>
          <w:bCs/>
          <w:sz w:val="22"/>
          <w:szCs w:val="22"/>
        </w:rPr>
      </w:pPr>
    </w:p>
    <w:p w:rsidR="00882606" w:rsidRDefault="00201764">
      <w:pPr>
        <w:numPr>
          <w:ilvl w:val="0"/>
          <w:numId w:val="1"/>
        </w:numPr>
        <w:tabs>
          <w:tab w:val="left" w:pos="708"/>
        </w:tabs>
        <w:ind w:left="567"/>
        <w:contextualSpacing/>
        <w:jc w:val="both"/>
        <w:rPr>
          <w:rFonts w:ascii="Rockwell" w:hAnsi="Rockwell" w:cs="Calibri"/>
          <w:bCs/>
          <w:sz w:val="22"/>
          <w:szCs w:val="22"/>
        </w:rPr>
      </w:pPr>
      <w:r>
        <w:rPr>
          <w:rFonts w:ascii="Rockwell" w:hAnsi="Rockwell" w:cs="Calibri"/>
          <w:bCs/>
          <w:sz w:val="22"/>
          <w:szCs w:val="22"/>
        </w:rPr>
        <w:t>Autorise Monsieur le président à signer toutes les pièces et conventions nécessaires à l’exécution de la présente délibération ;</w:t>
      </w:r>
    </w:p>
    <w:p w:rsidR="00882606" w:rsidRDefault="00882606">
      <w:pPr>
        <w:tabs>
          <w:tab w:val="left" w:pos="708"/>
        </w:tabs>
        <w:ind w:left="567"/>
        <w:contextualSpacing/>
        <w:jc w:val="both"/>
        <w:rPr>
          <w:rFonts w:ascii="Rockwell" w:hAnsi="Rockwell" w:cs="Calibri"/>
          <w:bCs/>
          <w:sz w:val="22"/>
          <w:szCs w:val="22"/>
        </w:rPr>
      </w:pPr>
    </w:p>
    <w:p w:rsidR="00882606" w:rsidRDefault="00201764">
      <w:pPr>
        <w:numPr>
          <w:ilvl w:val="0"/>
          <w:numId w:val="1"/>
        </w:numPr>
        <w:tabs>
          <w:tab w:val="left" w:pos="708"/>
        </w:tabs>
        <w:ind w:left="567"/>
        <w:contextualSpacing/>
        <w:jc w:val="both"/>
        <w:rPr>
          <w:rFonts w:ascii="Rockwell" w:hAnsi="Rockwell" w:cs="Calibri"/>
          <w:bCs/>
          <w:sz w:val="22"/>
          <w:szCs w:val="22"/>
        </w:rPr>
      </w:pPr>
      <w:r>
        <w:rPr>
          <w:rFonts w:ascii="Rockwell" w:hAnsi="Rockwell" w:cs="Calibri"/>
          <w:bCs/>
          <w:sz w:val="22"/>
          <w:szCs w:val="22"/>
        </w:rPr>
        <w:t>Dit que les crédits sont et seront inscrits au budget.</w:t>
      </w:r>
    </w:p>
    <w:p w:rsidR="00882606" w:rsidRDefault="00882606">
      <w:pPr>
        <w:suppressAutoHyphens w:val="0"/>
        <w:jc w:val="both"/>
        <w:rPr>
          <w:rFonts w:ascii="Rockwell" w:hAnsi="Rockwell"/>
          <w:color w:val="00000A"/>
          <w:sz w:val="22"/>
          <w:szCs w:val="22"/>
        </w:rPr>
      </w:pPr>
    </w:p>
    <w:p w:rsidR="00882606" w:rsidRDefault="00882606">
      <w:pPr>
        <w:suppressAutoHyphens w:val="0"/>
        <w:jc w:val="both"/>
        <w:rPr>
          <w:rFonts w:ascii="Rockwell" w:hAnsi="Rockwell"/>
          <w:sz w:val="22"/>
          <w:szCs w:val="22"/>
        </w:rPr>
      </w:pPr>
    </w:p>
    <w:p w:rsidR="00201764" w:rsidRDefault="00201764">
      <w:pPr>
        <w:suppressAutoHyphens w:val="0"/>
        <w:jc w:val="both"/>
        <w:rPr>
          <w:rFonts w:ascii="Rockwell" w:hAnsi="Rockwell"/>
          <w:sz w:val="22"/>
          <w:szCs w:val="22"/>
        </w:rPr>
      </w:pPr>
    </w:p>
    <w:p w:rsidR="00882606" w:rsidRDefault="00201764">
      <w:pPr>
        <w:suppressAutoHyphens w:val="0"/>
        <w:jc w:val="both"/>
        <w:rPr>
          <w:rFonts w:ascii="Rockwell" w:hAnsi="Rockwell"/>
          <w:sz w:val="22"/>
          <w:szCs w:val="22"/>
        </w:rPr>
      </w:pPr>
      <w:r>
        <w:rPr>
          <w:rFonts w:ascii="Rockwell" w:hAnsi="Rockwell"/>
          <w:sz w:val="22"/>
          <w:szCs w:val="22"/>
        </w:rPr>
        <w:t>Fait et délibéré, les jours, mois et an susdit.</w:t>
      </w:r>
    </w:p>
    <w:p w:rsidR="00882606" w:rsidRDefault="00882606">
      <w:pPr>
        <w:suppressAutoHyphens w:val="0"/>
        <w:jc w:val="both"/>
        <w:rPr>
          <w:rFonts w:ascii="Rockwell" w:hAnsi="Rockwell"/>
          <w:sz w:val="22"/>
          <w:szCs w:val="22"/>
        </w:rPr>
      </w:pPr>
    </w:p>
    <w:p w:rsidR="00882606" w:rsidRDefault="00882606">
      <w:pPr>
        <w:suppressAutoHyphens w:val="0"/>
        <w:jc w:val="both"/>
        <w:rPr>
          <w:rFonts w:ascii="Rockwell" w:hAnsi="Rockwell"/>
          <w:sz w:val="22"/>
          <w:szCs w:val="22"/>
        </w:rPr>
      </w:pPr>
    </w:p>
    <w:p w:rsidR="00882606" w:rsidRDefault="00882606">
      <w:pPr>
        <w:suppressAutoHyphens w:val="0"/>
        <w:jc w:val="both"/>
        <w:rPr>
          <w:rFonts w:ascii="Rockwell" w:hAnsi="Rockwell"/>
          <w:sz w:val="22"/>
          <w:szCs w:val="22"/>
        </w:rPr>
      </w:pPr>
    </w:p>
    <w:p w:rsidR="00882606" w:rsidRDefault="00201764">
      <w:pPr>
        <w:suppressAutoHyphens w:val="0"/>
        <w:ind w:right="22"/>
        <w:jc w:val="right"/>
        <w:rPr>
          <w:rFonts w:ascii="Rockwell" w:hAnsi="Rockwell" w:cs="Arial"/>
          <w:sz w:val="22"/>
          <w:szCs w:val="22"/>
        </w:rPr>
      </w:pPr>
      <w:r>
        <w:rPr>
          <w:rFonts w:ascii="Rockwell" w:hAnsi="Rockwell" w:cs="Arial"/>
          <w:sz w:val="22"/>
          <w:szCs w:val="22"/>
        </w:rPr>
        <w:t xml:space="preserve">Certifié exécutoire </w:t>
      </w:r>
    </w:p>
    <w:p w:rsidR="00882606" w:rsidRDefault="00201764">
      <w:pPr>
        <w:suppressAutoHyphens w:val="0"/>
        <w:ind w:right="22"/>
        <w:jc w:val="right"/>
        <w:rPr>
          <w:rFonts w:ascii="Rockwell" w:hAnsi="Rockwell" w:cs="Arial"/>
          <w:sz w:val="22"/>
          <w:szCs w:val="22"/>
        </w:rPr>
      </w:pPr>
      <w:r>
        <w:rPr>
          <w:rFonts w:ascii="Rockwell" w:hAnsi="Rockwell" w:cs="Arial"/>
          <w:sz w:val="22"/>
          <w:szCs w:val="22"/>
        </w:rPr>
        <w:t>Compte tenu de la transmission en préfecture le -----------------</w:t>
      </w:r>
    </w:p>
    <w:p w:rsidR="00882606" w:rsidRDefault="00201764">
      <w:pPr>
        <w:suppressAutoHyphens w:val="0"/>
        <w:ind w:right="22"/>
        <w:jc w:val="right"/>
        <w:rPr>
          <w:rFonts w:ascii="Rockwell" w:hAnsi="Rockwell" w:cs="Arial"/>
          <w:sz w:val="22"/>
          <w:szCs w:val="22"/>
        </w:rPr>
      </w:pPr>
      <w:r>
        <w:rPr>
          <w:rFonts w:ascii="Rockwell" w:hAnsi="Rockwell" w:cs="Arial"/>
          <w:sz w:val="22"/>
          <w:szCs w:val="22"/>
        </w:rPr>
        <w:t>Et de la publication, le -----------------</w:t>
      </w:r>
    </w:p>
    <w:p w:rsidR="00882606" w:rsidRDefault="00882606">
      <w:pPr>
        <w:suppressAutoHyphens w:val="0"/>
        <w:ind w:right="22"/>
        <w:jc w:val="right"/>
        <w:rPr>
          <w:rFonts w:ascii="Rockwell" w:hAnsi="Rockwell" w:cs="Arial"/>
          <w:sz w:val="22"/>
          <w:szCs w:val="22"/>
        </w:rPr>
      </w:pPr>
    </w:p>
    <w:p w:rsidR="00882606" w:rsidRDefault="00201764">
      <w:pPr>
        <w:suppressAutoHyphens w:val="0"/>
        <w:ind w:right="22"/>
        <w:jc w:val="right"/>
        <w:rPr>
          <w:rFonts w:ascii="Rockwell" w:hAnsi="Rockwell" w:cs="Arial"/>
          <w:sz w:val="22"/>
          <w:szCs w:val="22"/>
        </w:rPr>
      </w:pPr>
      <w:r>
        <w:rPr>
          <w:rFonts w:ascii="Rockwell" w:hAnsi="Rockwell" w:cs="Arial"/>
          <w:sz w:val="22"/>
          <w:szCs w:val="22"/>
        </w:rPr>
        <w:t>Monsieur le président,</w:t>
      </w:r>
    </w:p>
    <w:p w:rsidR="00882606" w:rsidRDefault="00882606">
      <w:pPr>
        <w:suppressAutoHyphens w:val="0"/>
        <w:ind w:right="22"/>
        <w:jc w:val="right"/>
        <w:rPr>
          <w:rFonts w:ascii="Rockwell" w:hAnsi="Rockwell" w:cs="Arial"/>
          <w:sz w:val="22"/>
          <w:szCs w:val="22"/>
        </w:rPr>
      </w:pPr>
    </w:p>
    <w:p w:rsidR="00882606" w:rsidRDefault="00201764">
      <w:pPr>
        <w:suppressAutoHyphens w:val="0"/>
        <w:jc w:val="right"/>
        <w:rPr>
          <w:rFonts w:ascii="Rockwell" w:hAnsi="Rockwell" w:cs="Arial"/>
          <w:sz w:val="22"/>
          <w:szCs w:val="22"/>
        </w:rPr>
      </w:pPr>
      <w:r>
        <w:rPr>
          <w:rFonts w:ascii="Rockwell" w:hAnsi="Rockwell" w:cs="Arial"/>
          <w:sz w:val="22"/>
          <w:szCs w:val="22"/>
        </w:rPr>
        <w:t>Joël BONNAFFOUX.</w:t>
      </w:r>
    </w:p>
    <w:p w:rsidR="00882606" w:rsidRDefault="00882606">
      <w:pPr>
        <w:suppressAutoHyphens w:val="0"/>
        <w:jc w:val="right"/>
        <w:rPr>
          <w:rFonts w:ascii="Rockwell" w:hAnsi="Rockwell" w:cs="Arial"/>
          <w:sz w:val="22"/>
          <w:szCs w:val="22"/>
        </w:rPr>
      </w:pPr>
    </w:p>
    <w:p w:rsidR="00882606" w:rsidRDefault="00882606">
      <w:pPr>
        <w:suppressAutoHyphens w:val="0"/>
        <w:jc w:val="both"/>
        <w:rPr>
          <w:rFonts w:ascii="Rockwell" w:hAnsi="Rockwell"/>
          <w:sz w:val="22"/>
          <w:szCs w:val="22"/>
        </w:rPr>
      </w:pPr>
    </w:p>
    <w:p w:rsidR="00882606" w:rsidRDefault="00201764">
      <w:pPr>
        <w:suppressAutoHyphens w:val="0"/>
        <w:ind w:right="22"/>
        <w:jc w:val="right"/>
        <w:rPr>
          <w:rFonts w:ascii="Rockwell" w:hAnsi="Rockwell" w:cs="Arial"/>
          <w:sz w:val="22"/>
          <w:szCs w:val="22"/>
        </w:rPr>
      </w:pPr>
      <w:r>
        <w:rPr>
          <w:noProof/>
        </w:rPr>
        <mc:AlternateContent>
          <mc:Choice Requires="wps">
            <w:drawing>
              <wp:anchor distT="0" distB="26670" distL="0" distR="131445" simplePos="0" relativeHeight="5" behindDoc="0" locked="0" layoutInCell="0" allowOverlap="1">
                <wp:simplePos x="0" y="0"/>
                <wp:positionH relativeFrom="margin">
                  <wp:align>left</wp:align>
                </wp:positionH>
                <wp:positionV relativeFrom="paragraph">
                  <wp:posOffset>10444</wp:posOffset>
                </wp:positionV>
                <wp:extent cx="2218055" cy="600710"/>
                <wp:effectExtent l="0" t="0" r="10795" b="27940"/>
                <wp:wrapSquare wrapText="bothSides"/>
                <wp:docPr id="5" name="Zone de texte 2"/>
                <wp:cNvGraphicFramePr/>
                <a:graphic xmlns:a="http://schemas.openxmlformats.org/drawingml/2006/main">
                  <a:graphicData uri="http://schemas.microsoft.com/office/word/2010/wordprocessingShape">
                    <wps:wsp>
                      <wps:cNvSpPr/>
                      <wps:spPr>
                        <a:xfrm>
                          <a:off x="0" y="0"/>
                          <a:ext cx="2218055" cy="60071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882606" w:rsidRDefault="00201764">
                            <w:pPr>
                              <w:pStyle w:val="Contenudecadre"/>
                              <w:tabs>
                                <w:tab w:val="center" w:pos="4536"/>
                                <w:tab w:val="right" w:pos="9072"/>
                              </w:tabs>
                              <w:jc w:val="both"/>
                              <w:rPr>
                                <w:rFonts w:ascii="Rockwell" w:hAnsi="Rockwell"/>
                                <w:i/>
                                <w:color w:val="000000"/>
                                <w:sz w:val="16"/>
                                <w:szCs w:val="16"/>
                              </w:rPr>
                            </w:pPr>
                            <w:r>
                              <w:rPr>
                                <w:rFonts w:ascii="Rockwell" w:hAnsi="Rockwell"/>
                                <w:i/>
                                <w:color w:val="000000"/>
                                <w:sz w:val="16"/>
                                <w:szCs w:val="16"/>
                              </w:rPr>
                              <w:t>Le présent acte peut faire l’objet d’un recours pour excès de pouvoir devant le tribunal administratif de Marseille dans un délai de deux mois à compter de la date exécutoire.</w:t>
                            </w:r>
                          </w:p>
                          <w:p w:rsidR="00882606" w:rsidRDefault="00882606">
                            <w:pPr>
                              <w:pStyle w:val="Contenudecadre"/>
                              <w:jc w:val="both"/>
                            </w:pPr>
                          </w:p>
                        </w:txbxContent>
                      </wps:txbx>
                      <wps:bodyPr>
                        <a:noAutofit/>
                      </wps:bodyPr>
                    </wps:wsp>
                  </a:graphicData>
                </a:graphic>
              </wp:anchor>
            </w:drawing>
          </mc:Choice>
          <mc:Fallback>
            <w:pict>
              <v:rect id="Zone de texte 2" o:spid="_x0000_s1028" style="position:absolute;left:0;text-align:left;margin-left:0;margin-top:.8pt;width:174.65pt;height:47.3pt;z-index:5;visibility:visible;mso-wrap-style:square;mso-wrap-distance-left:0;mso-wrap-distance-top:0;mso-wrap-distance-right:10.35pt;mso-wrap-distance-bottom:2.1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J26QEAADQEAAAOAAAAZHJzL2Uyb0RvYy54bWysU8FuGyEQvVfqPyDu9a6tJrVWXkdVo/RS&#10;tVGTXnrDLNhIwCDA3vXfd5hdb9L2lCg+YGDmveG9md3cDM6yk4rJgG/5clFzpryEzvh9y3893n1Y&#10;c5ay8J2w4FXLzyrxm+37d5s+NGoFB7CdigxJfGr60PJDzqGpqiQPyom0gKA8BjVEJzIe477qouiR&#10;3dlqVdfXVQ+xCxGkSglvb8cg3xK/1krmH1onlZltOb4t0xpp3ZW12m5Es48iHIycniFe8QonjMei&#10;M9WtyIIdo/mPyhkZIYHOCwmuAq2NVKQB1Szrf9Q8HERQpAXNSWG2Kb0drfx+uo/MdC2/4swLhy36&#10;jY1inWJZDVmxVbGoD6nBzIdwH6dTwm3RO+joyj8qYQPZep5tRTyTeLlaLdf1FfJLjF3X9acl+V49&#10;oUNM+asCx8qm5RHbRm6K07eUsSKmXlJKMQ93xlpqnfWsR9KP65oACazpSrCkpbjffbGRnURpPv2K&#10;GCT7Ky3C0XfjvfUYLmJHebTLZ6sKm/U/lUanSCXRy4l/HCecdxywy1BhEQKURI3veSF2ghS0oil+&#10;IX4GUX3wecY74yGSDc/UlW0edgMNwtzxHXTnscsePh8zaEO9KMmXEJmFo0muTp9Rmf3nZ7L06WPf&#10;/gEAAP//AwBQSwMEFAAGAAgAAAAhACTIO//ZAAAABQEAAA8AAABkcnMvZG93bnJldi54bWxMjsFO&#10;wzAQRO9I/IO1SNyo0xalTYhToUqoZ0oR4ubG2yQ0Xke2k4a/7/YEx50ZvX3FZrKdGNGH1pGC+SwB&#10;gVQ501Kt4PDx9rQGEaImoztHqOAXA2zK+7tC58Zd6B3HfawFQyjkWkETY59LGaoGrQ4z1yNxd3Le&#10;6sinr6Xx+sJw28lFkqTS6pb4Q6N73DZYnfeDVZDsxu2BzOeI31Stdpn/Gn5WpNTjw/T6AiLiFP/G&#10;cNNndSjZ6egGMkF0zOAdpykILpfP2RLEUUGWLkCWhfxvX14BAAD//wMAUEsBAi0AFAAGAAgAAAAh&#10;ALaDOJL+AAAA4QEAABMAAAAAAAAAAAAAAAAAAAAAAFtDb250ZW50X1R5cGVzXS54bWxQSwECLQAU&#10;AAYACAAAACEAOP0h/9YAAACUAQAACwAAAAAAAAAAAAAAAAAvAQAAX3JlbHMvLnJlbHNQSwECLQAU&#10;AAYACAAAACEAMQwydukBAAA0BAAADgAAAAAAAAAAAAAAAAAuAgAAZHJzL2Uyb0RvYy54bWxQSwEC&#10;LQAUAAYACAAAACEAJMg7/9kAAAAFAQAADwAAAAAAAAAAAAAAAABDBAAAZHJzL2Rvd25yZXYueG1s&#10;UEsFBgAAAAAEAAQA8wAAAEkFAAAAAA==&#10;" o:allowincell="f" filled="f" strokeweight=".18mm">
                <v:stroke joinstyle="round"/>
                <v:textbox>
                  <w:txbxContent>
                    <w:p w:rsidR="00882606" w:rsidRDefault="00201764">
                      <w:pPr>
                        <w:pStyle w:val="Contenudecadre"/>
                        <w:tabs>
                          <w:tab w:val="center" w:pos="4536"/>
                          <w:tab w:val="right" w:pos="9072"/>
                        </w:tabs>
                        <w:jc w:val="both"/>
                        <w:rPr>
                          <w:rFonts w:ascii="Rockwell" w:hAnsi="Rockwell"/>
                          <w:i/>
                          <w:color w:val="000000"/>
                          <w:sz w:val="16"/>
                          <w:szCs w:val="16"/>
                        </w:rPr>
                      </w:pPr>
                      <w:r>
                        <w:rPr>
                          <w:rFonts w:ascii="Rockwell" w:hAnsi="Rockwell"/>
                          <w:i/>
                          <w:color w:val="000000"/>
                          <w:sz w:val="16"/>
                          <w:szCs w:val="16"/>
                        </w:rPr>
                        <w:t xml:space="preserve">Le </w:t>
                      </w:r>
                      <w:r>
                        <w:rPr>
                          <w:rFonts w:ascii="Rockwell" w:hAnsi="Rockwell"/>
                          <w:i/>
                          <w:color w:val="000000"/>
                          <w:sz w:val="16"/>
                          <w:szCs w:val="16"/>
                        </w:rPr>
                        <w:t>présent acte peut faire l’objet d’un recours pour excès de pouvoir devant le tribunal administratif de Marseille dans un délai de deux mois à compter de la date exécutoire.</w:t>
                      </w:r>
                    </w:p>
                    <w:p w:rsidR="00882606" w:rsidRDefault="00882606">
                      <w:pPr>
                        <w:pStyle w:val="Contenudecadre"/>
                        <w:jc w:val="both"/>
                      </w:pPr>
                    </w:p>
                  </w:txbxContent>
                </v:textbox>
                <w10:wrap type="square" anchorx="margin"/>
              </v:rect>
            </w:pict>
          </mc:Fallback>
        </mc:AlternateContent>
      </w:r>
    </w:p>
    <w:p w:rsidR="00882606" w:rsidRDefault="00882606">
      <w:pPr>
        <w:suppressAutoHyphens w:val="0"/>
        <w:rPr>
          <w:rFonts w:ascii="Rockwell" w:hAnsi="Rockwell" w:cs="Arial"/>
          <w:sz w:val="22"/>
          <w:szCs w:val="22"/>
        </w:rPr>
      </w:pPr>
    </w:p>
    <w:sectPr w:rsidR="00882606">
      <w:headerReference w:type="default" r:id="rId8"/>
      <w:footerReference w:type="default" r:id="rId9"/>
      <w:pgSz w:w="11906" w:h="16838"/>
      <w:pgMar w:top="1417" w:right="1417" w:bottom="993" w:left="1417" w:header="1134" w:footer="720" w:gutter="0"/>
      <w:cols w:space="720"/>
      <w:formProt w:val="0"/>
      <w:docGrid w:linePitch="100" w:charSpace="57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A7" w:rsidRDefault="00201764">
      <w:r>
        <w:separator/>
      </w:r>
    </w:p>
  </w:endnote>
  <w:endnote w:type="continuationSeparator" w:id="0">
    <w:p w:rsidR="005459A7" w:rsidRDefault="0020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06" w:rsidRDefault="00201764">
    <w:pPr>
      <w:pStyle w:val="Pieddepage"/>
      <w:jc w:val="right"/>
      <w:rPr>
        <w:rFonts w:ascii="Rockwell" w:hAnsi="Rockwell"/>
      </w:rPr>
    </w:pPr>
    <w:r>
      <w:rPr>
        <w:rFonts w:ascii="Rockwell" w:hAnsi="Rockwell"/>
      </w:rPr>
      <w:fldChar w:fldCharType="begin"/>
    </w:r>
    <w:r>
      <w:rPr>
        <w:rFonts w:ascii="Rockwell" w:hAnsi="Rockwell"/>
      </w:rPr>
      <w:instrText>PAGE</w:instrText>
    </w:r>
    <w:r>
      <w:rPr>
        <w:rFonts w:ascii="Rockwell" w:hAnsi="Rockwell"/>
      </w:rPr>
      <w:fldChar w:fldCharType="separate"/>
    </w:r>
    <w:r w:rsidR="00DA4A17">
      <w:rPr>
        <w:rFonts w:ascii="Rockwell" w:hAnsi="Rockwell"/>
        <w:noProof/>
      </w:rPr>
      <w:t>4</w:t>
    </w:r>
    <w:r>
      <w:rPr>
        <w:rFonts w:ascii="Rockwell" w:hAnsi="Rockwell"/>
      </w:rPr>
      <w:fldChar w:fldCharType="end"/>
    </w:r>
  </w:p>
  <w:p w:rsidR="00882606" w:rsidRDefault="008826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A7" w:rsidRDefault="00201764">
      <w:r>
        <w:separator/>
      </w:r>
    </w:p>
  </w:footnote>
  <w:footnote w:type="continuationSeparator" w:id="0">
    <w:p w:rsidR="005459A7" w:rsidRDefault="0020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06" w:rsidRDefault="00DA4A17">
    <w:pPr>
      <w:pStyle w:val="En-tte"/>
    </w:pPr>
    <w:r>
      <w:pict>
        <v:shapetype id="shapetype_136" o:spid="_x0000_m1027"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shape_0" o:spid="_x0000_s1025" style="position:absolute;margin-left:.05pt;margin-top:0;width:0;height:49.8pt;z-index:251658752;mso-wrap-style:none;v-text-anchor:middle" coordsize="2,1759" o:spt="100" adj="0,,0" path="m,l,xm1,l,,1,xm,l,xm1,1758l,,1,1758xe" filled="f">
          <v:fill o:detectmouseclick="t"/>
          <v:stroke joinstyle="miter"/>
          <v:formulas/>
          <v:path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ECC"/>
    <w:multiLevelType w:val="multilevel"/>
    <w:tmpl w:val="983C9EA4"/>
    <w:lvl w:ilvl="0">
      <w:start w:val="1"/>
      <w:numFmt w:val="decimal"/>
      <w:lvlText w:val="%1."/>
      <w:lvlJc w:val="left"/>
      <w:pPr>
        <w:tabs>
          <w:tab w:val="num" w:pos="720"/>
        </w:tabs>
        <w:ind w:left="720" w:hanging="360"/>
      </w:pPr>
      <w:rPr>
        <w:rFonts w:ascii="Rockwell" w:eastAsia="Times New Roman" w:hAnsi="Rockwel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D04BD2"/>
    <w:multiLevelType w:val="multilevel"/>
    <w:tmpl w:val="DA825A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9F4680"/>
    <w:multiLevelType w:val="multilevel"/>
    <w:tmpl w:val="E50227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77003D2"/>
    <w:multiLevelType w:val="multilevel"/>
    <w:tmpl w:val="976202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95167FF"/>
    <w:multiLevelType w:val="multilevel"/>
    <w:tmpl w:val="C2DE54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EA40C6"/>
    <w:multiLevelType w:val="multilevel"/>
    <w:tmpl w:val="571E94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2630577"/>
    <w:multiLevelType w:val="multilevel"/>
    <w:tmpl w:val="A0205FA2"/>
    <w:lvl w:ilvl="0">
      <w:start w:val="1"/>
      <w:numFmt w:val="bullet"/>
      <w:lvlText w:val=""/>
      <w:lvlJc w:val="left"/>
      <w:pPr>
        <w:tabs>
          <w:tab w:val="num" w:pos="0"/>
        </w:tabs>
        <w:ind w:left="720" w:hanging="360"/>
      </w:pPr>
      <w:rPr>
        <w:rFonts w:ascii="Wingdings" w:hAnsi="Wingdings" w:cs="Wingdings"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06"/>
    <w:rsid w:val="00201764"/>
    <w:rsid w:val="005459A7"/>
    <w:rsid w:val="006612EA"/>
    <w:rsid w:val="00882606"/>
    <w:rsid w:val="00DA4A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EDCC"/>
  <w15:docId w15:val="{915899FF-80A7-4F9C-91EE-678AEBFD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Rockwell" w:hAnsi="Rockwell"/>
      <w:sz w:val="22"/>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qFormat/>
    <w:rPr>
      <w:b/>
      <w:sz w:val="28"/>
      <w:lang w:val="fr-FR" w:eastAsia="fr-FR" w:bidi="ar-SA"/>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enInternet">
    <w:name w:val="Lien Internet"/>
    <w:basedOn w:val="Policepardfaut"/>
    <w:rPr>
      <w:color w:val="0000FF"/>
      <w:u w:val="single"/>
    </w:rPr>
  </w:style>
  <w:style w:type="character" w:customStyle="1" w:styleId="TextedebullesCar">
    <w:name w:val="Texte de bulles Car"/>
    <w:basedOn w:val="Policepardfaut"/>
    <w:qFormat/>
    <w:rPr>
      <w:rFonts w:ascii="Tahoma" w:hAnsi="Tahoma" w:cs="Tahoma"/>
      <w:sz w:val="16"/>
      <w:szCs w:val="16"/>
    </w:rPr>
  </w:style>
  <w:style w:type="character" w:styleId="lev">
    <w:name w:val="Strong"/>
    <w:basedOn w:val="Policepardfaut"/>
    <w:qFormat/>
    <w:rPr>
      <w:b/>
      <w:bCs/>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rpsdetexte3">
    <w:name w:val="Body Text 3"/>
    <w:basedOn w:val="Normal"/>
    <w:qFormat/>
    <w:pPr>
      <w:spacing w:after="120"/>
    </w:pPr>
    <w:rPr>
      <w:sz w:val="16"/>
      <w:szCs w:val="16"/>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styleId="Sansinterligne">
    <w:name w:val="No Spacing"/>
    <w:qFormat/>
  </w:style>
  <w:style w:type="paragraph" w:customStyle="1" w:styleId="VuConsidrant">
    <w:name w:val="Vu.Considérant"/>
    <w:basedOn w:val="Normal"/>
    <w:qFormat/>
    <w:pPr>
      <w:spacing w:after="140"/>
      <w:jc w:val="both"/>
    </w:pPr>
    <w:rPr>
      <w:rFonts w:ascii="Arial" w:hAnsi="Arial"/>
    </w:rPr>
  </w:style>
  <w:style w:type="paragraph" w:styleId="Textedebulles">
    <w:name w:val="Balloon Text"/>
    <w:basedOn w:val="Normal"/>
    <w:qFormat/>
    <w:rPr>
      <w:rFonts w:ascii="Tahoma" w:hAnsi="Tahoma" w:cs="Tahoma"/>
      <w:sz w:val="16"/>
      <w:szCs w:val="16"/>
    </w:rPr>
  </w:style>
  <w:style w:type="paragraph" w:customStyle="1" w:styleId="Standard">
    <w:name w:val="Standard"/>
    <w:qFormat/>
    <w:pPr>
      <w:textAlignment w:val="baseline"/>
    </w:pPr>
    <w:rPr>
      <w:kern w:val="2"/>
    </w:rPr>
  </w:style>
  <w:style w:type="paragraph" w:customStyle="1" w:styleId="TableParagraph">
    <w:name w:val="Table Paragraph"/>
    <w:basedOn w:val="Normal"/>
    <w:qFormat/>
    <w:pPr>
      <w:widowControl w:val="0"/>
    </w:pPr>
    <w:rPr>
      <w:rFonts w:ascii="Cambria" w:eastAsia="Cambria" w:hAnsi="Cambria" w:cs="Cambria"/>
      <w:sz w:val="22"/>
      <w:szCs w:val="22"/>
      <w:lang w:eastAsia="en-US"/>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styleId="Sous-titre">
    <w:name w:val="Subtitle"/>
    <w:basedOn w:val="Titre"/>
    <w:next w:val="Corpsdetexte"/>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b.fr/moi-velo/ma-securite/equipement/antivols/antivols-5-reg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4</Pages>
  <Words>956</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CCPA</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Valérie BENEDICK</cp:lastModifiedBy>
  <cp:revision>4</cp:revision>
  <cp:lastPrinted>2023-09-04T09:35:00Z</cp:lastPrinted>
  <dcterms:created xsi:type="dcterms:W3CDTF">2023-08-22T15:05:00Z</dcterms:created>
  <dcterms:modified xsi:type="dcterms:W3CDTF">2023-09-04T09:35:00Z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2022-09-15T14:37:00Z</dcterms:created>
  <dc:creator>DGS</dc:creator>
  <dc:description/>
  <dc:language>fr-FR</dc:language>
  <cp:lastModifiedBy/>
  <cp:lastPrinted>2023-08-08T16:32:42Z</cp:lastPrinted>
  <dcterms:modified xsi:type="dcterms:W3CDTF">2023-08-22T16:44:42Z</dcterms:modified>
  <cp:revision>57</cp:revision>
  <dc:subject/>
  <dc:title>Modèle délibération</dc:title>
</cp:coreProperties>
</file>